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586" w:rsidRPr="000E0560" w:rsidRDefault="008C0FCF" w:rsidP="00C54B3A">
      <w:pPr>
        <w:pStyle w:val="Heading1"/>
        <w:numPr>
          <w:ilvl w:val="0"/>
          <w:numId w:val="0"/>
        </w:numPr>
        <w:spacing w:before="80" w:after="80" w:line="252" w:lineRule="auto"/>
        <w:jc w:val="center"/>
        <w:rPr>
          <w:b/>
          <w:sz w:val="28"/>
          <w:szCs w:val="32"/>
        </w:rPr>
      </w:pPr>
      <w:r w:rsidRPr="000E0560">
        <w:rPr>
          <w:b/>
          <w:sz w:val="28"/>
          <w:szCs w:val="32"/>
        </w:rPr>
        <w:t>National Infrastructure Call for Evidence on the Cambridge – Milton Keynes – Oxford ‘Growth Corridor’</w:t>
      </w:r>
    </w:p>
    <w:p w:rsidR="008C0FCF" w:rsidRPr="000E0560" w:rsidRDefault="008C0FCF" w:rsidP="00C54B3A">
      <w:pPr>
        <w:pStyle w:val="Heading2"/>
        <w:spacing w:before="80" w:after="80" w:line="252" w:lineRule="auto"/>
        <w:jc w:val="center"/>
      </w:pPr>
      <w:r w:rsidRPr="000E0560">
        <w:t>Response from six Local Enterprise Partnerships along the corridor: Buckinghamshire Thames Valley, Greater Cambridge Greater Peterborough, Hertfordshire, Northamptonshire, Oxfordshire, and South East Midlands</w:t>
      </w:r>
    </w:p>
    <w:p w:rsidR="0091739D" w:rsidRPr="000E0560" w:rsidRDefault="004362EE" w:rsidP="00C54B3A">
      <w:pPr>
        <w:pStyle w:val="Heading3"/>
        <w:spacing w:before="80" w:after="80" w:line="252" w:lineRule="auto"/>
        <w:rPr>
          <w:rFonts w:eastAsia="Times New Roman"/>
          <w:lang w:eastAsia="ar-SA"/>
        </w:rPr>
      </w:pPr>
      <w:r w:rsidRPr="000E0560">
        <w:rPr>
          <w:rFonts w:eastAsia="Times New Roman"/>
          <w:lang w:eastAsia="ar-SA"/>
        </w:rPr>
        <w:t>Q</w:t>
      </w:r>
      <w:r w:rsidR="00A17920" w:rsidRPr="000E0560">
        <w:rPr>
          <w:rFonts w:eastAsia="Times New Roman"/>
          <w:lang w:eastAsia="ar-SA"/>
        </w:rPr>
        <w:t>3. Describe your vision to maximise growth, maintain a high quality environment, and deliver more jobs and homes across the corridor over the next 30 years:</w:t>
      </w:r>
    </w:p>
    <w:p w:rsidR="000B3182" w:rsidRPr="0034711D" w:rsidRDefault="000B3182" w:rsidP="000B3182">
      <w:pPr>
        <w:spacing w:before="80" w:after="80" w:line="252" w:lineRule="auto"/>
        <w:rPr>
          <w:lang w:eastAsia="ar-SA"/>
        </w:rPr>
      </w:pPr>
      <w:r>
        <w:rPr>
          <w:lang w:eastAsia="ar-SA"/>
        </w:rPr>
        <w:t xml:space="preserve">The economies of the six Local Enterprise Partnerships </w:t>
      </w:r>
      <w:r w:rsidR="00A9788C">
        <w:rPr>
          <w:lang w:eastAsia="ar-SA"/>
        </w:rPr>
        <w:t xml:space="preserve">are collectively a </w:t>
      </w:r>
      <w:r>
        <w:rPr>
          <w:lang w:eastAsia="ar-SA"/>
        </w:rPr>
        <w:t>high</w:t>
      </w:r>
      <w:r w:rsidR="00A9788C">
        <w:rPr>
          <w:lang w:eastAsia="ar-SA"/>
        </w:rPr>
        <w:t xml:space="preserve"> </w:t>
      </w:r>
      <w:r>
        <w:rPr>
          <w:lang w:eastAsia="ar-SA"/>
        </w:rPr>
        <w:t xml:space="preserve">productivity </w:t>
      </w:r>
      <w:r w:rsidR="0034711D">
        <w:rPr>
          <w:lang w:eastAsia="ar-SA"/>
        </w:rPr>
        <w:t>corridor stretching from Oxfordshire to Cambridgeshire and Peterborough. Many of the areas within the corridor have some of the highest levels of productivity per worker outside of London</w:t>
      </w:r>
      <w:r>
        <w:rPr>
          <w:rStyle w:val="EndnoteReference"/>
          <w:lang w:eastAsia="ar-SA"/>
        </w:rPr>
        <w:endnoteReference w:id="1"/>
      </w:r>
      <w:r>
        <w:rPr>
          <w:color w:val="404040" w:themeColor="text1" w:themeTint="BF"/>
          <w:lang w:eastAsia="ar-SA"/>
        </w:rPr>
        <w:t>. The</w:t>
      </w:r>
      <w:r w:rsidR="0034711D">
        <w:rPr>
          <w:color w:val="404040" w:themeColor="text1" w:themeTint="BF"/>
          <w:lang w:eastAsia="ar-SA"/>
        </w:rPr>
        <w:t xml:space="preserve"> economies of the six Local Enterprise Partnerships</w:t>
      </w:r>
      <w:r>
        <w:rPr>
          <w:color w:val="404040" w:themeColor="text1" w:themeTint="BF"/>
          <w:lang w:eastAsia="ar-SA"/>
        </w:rPr>
        <w:t xml:space="preserve"> contribute </w:t>
      </w:r>
      <w:r w:rsidRPr="000E0560">
        <w:rPr>
          <w:color w:val="404040" w:themeColor="text1" w:themeTint="BF"/>
          <w:lang w:eastAsia="ar-SA"/>
        </w:rPr>
        <w:t>£165bn Gross Value Added (GVA) per year</w:t>
      </w:r>
      <w:r w:rsidR="0034711D">
        <w:rPr>
          <w:rStyle w:val="EndnoteReference"/>
          <w:color w:val="404040" w:themeColor="text1" w:themeTint="BF"/>
          <w:lang w:eastAsia="ar-SA"/>
        </w:rPr>
        <w:endnoteReference w:id="2"/>
      </w:r>
      <w:r w:rsidRPr="000E0560">
        <w:rPr>
          <w:color w:val="404040" w:themeColor="text1" w:themeTint="BF"/>
          <w:lang w:eastAsia="ar-SA"/>
        </w:rPr>
        <w:t xml:space="preserve">. </w:t>
      </w:r>
      <w:r w:rsidR="00542DD6" w:rsidRPr="00542DD6">
        <w:rPr>
          <w:lang w:eastAsia="ar-SA"/>
        </w:rPr>
        <w:t>But we have not yet achieved the full extent of our economic potential.</w:t>
      </w:r>
      <w:r w:rsidR="00542DD6">
        <w:rPr>
          <w:b/>
          <w:i/>
          <w:lang w:eastAsia="ar-SA"/>
        </w:rPr>
        <w:t xml:space="preserve"> </w:t>
      </w:r>
      <w:r w:rsidRPr="000E0560">
        <w:rPr>
          <w:color w:val="404040" w:themeColor="text1" w:themeTint="BF"/>
          <w:lang w:eastAsia="ar-SA"/>
        </w:rPr>
        <w:t xml:space="preserve">Our comparators </w:t>
      </w:r>
      <w:r>
        <w:rPr>
          <w:color w:val="404040" w:themeColor="text1" w:themeTint="BF"/>
          <w:lang w:eastAsia="ar-SA"/>
        </w:rPr>
        <w:t xml:space="preserve">are </w:t>
      </w:r>
      <w:r w:rsidRPr="000E0560">
        <w:rPr>
          <w:color w:val="404040" w:themeColor="text1" w:themeTint="BF"/>
          <w:lang w:eastAsia="ar-SA"/>
        </w:rPr>
        <w:t>the highest performing knowledge-based economies around the world</w:t>
      </w:r>
      <w:r w:rsidR="000C6FA0">
        <w:rPr>
          <w:color w:val="404040" w:themeColor="text1" w:themeTint="BF"/>
          <w:lang w:eastAsia="ar-SA"/>
        </w:rPr>
        <w:t>,</w:t>
      </w:r>
      <w:r>
        <w:rPr>
          <w:color w:val="404040" w:themeColor="text1" w:themeTint="BF"/>
          <w:lang w:eastAsia="ar-SA"/>
        </w:rPr>
        <w:t xml:space="preserve"> </w:t>
      </w:r>
      <w:r w:rsidR="000C6FA0">
        <w:rPr>
          <w:color w:val="404040" w:themeColor="text1" w:themeTint="BF"/>
          <w:lang w:eastAsia="ar-SA"/>
        </w:rPr>
        <w:t xml:space="preserve">not </w:t>
      </w:r>
      <w:r w:rsidRPr="000E0560">
        <w:rPr>
          <w:color w:val="404040" w:themeColor="text1" w:themeTint="BF"/>
          <w:lang w:eastAsia="ar-SA"/>
        </w:rPr>
        <w:t>other sub-national areas of the United Kingdom</w:t>
      </w:r>
      <w:r>
        <w:rPr>
          <w:color w:val="404040" w:themeColor="text1" w:themeTint="BF"/>
          <w:lang w:eastAsia="ar-SA"/>
        </w:rPr>
        <w:t xml:space="preserve">. </w:t>
      </w:r>
    </w:p>
    <w:p w:rsidR="00241E98" w:rsidRPr="00542DD6" w:rsidRDefault="000B3182" w:rsidP="00C54B3A">
      <w:pPr>
        <w:spacing w:before="80" w:after="80" w:line="252" w:lineRule="auto"/>
        <w:rPr>
          <w:b/>
          <w:i/>
          <w:lang w:eastAsia="ar-SA"/>
        </w:rPr>
      </w:pPr>
      <w:r w:rsidRPr="00542DD6">
        <w:rPr>
          <w:b/>
          <w:i/>
          <w:lang w:eastAsia="ar-SA"/>
        </w:rPr>
        <w:t>B</w:t>
      </w:r>
      <w:r w:rsidR="00CE2DE6" w:rsidRPr="00542DD6">
        <w:rPr>
          <w:b/>
          <w:i/>
          <w:lang w:eastAsia="ar-SA"/>
        </w:rPr>
        <w:t>uilding on our world-leading and globally competitive innovation- and knowledge-led industries</w:t>
      </w:r>
      <w:r w:rsidRPr="00542DD6">
        <w:rPr>
          <w:b/>
          <w:i/>
          <w:lang w:eastAsia="ar-SA"/>
        </w:rPr>
        <w:t>, and</w:t>
      </w:r>
      <w:r w:rsidR="00CE2DE6" w:rsidRPr="00542DD6">
        <w:rPr>
          <w:b/>
          <w:i/>
          <w:lang w:eastAsia="ar-SA"/>
        </w:rPr>
        <w:t xml:space="preserve"> underpinned by shared goals and strong collaboration between the private and public sectors and academic partners</w:t>
      </w:r>
      <w:r w:rsidRPr="00542DD6">
        <w:rPr>
          <w:b/>
          <w:i/>
          <w:lang w:eastAsia="ar-SA"/>
        </w:rPr>
        <w:t>, w</w:t>
      </w:r>
      <w:r w:rsidR="00241E98" w:rsidRPr="00542DD6">
        <w:rPr>
          <w:b/>
          <w:i/>
          <w:lang w:eastAsia="ar-SA"/>
        </w:rPr>
        <w:t xml:space="preserve">e aim to raise our global competitiveness, grow the economy, and build economic resilience for the country. All localities </w:t>
      </w:r>
      <w:r w:rsidRPr="00542DD6">
        <w:rPr>
          <w:b/>
          <w:i/>
          <w:lang w:eastAsia="ar-SA"/>
        </w:rPr>
        <w:t xml:space="preserve">in the corridor can and </w:t>
      </w:r>
      <w:r w:rsidR="00241E98" w:rsidRPr="00542DD6">
        <w:rPr>
          <w:b/>
          <w:i/>
          <w:lang w:eastAsia="ar-SA"/>
        </w:rPr>
        <w:t xml:space="preserve">must benefit from sustained </w:t>
      </w:r>
      <w:r w:rsidR="00F34350">
        <w:rPr>
          <w:b/>
          <w:i/>
          <w:lang w:eastAsia="ar-SA"/>
        </w:rPr>
        <w:t xml:space="preserve">and inclusive </w:t>
      </w:r>
      <w:r w:rsidR="00241E98" w:rsidRPr="00542DD6">
        <w:rPr>
          <w:b/>
          <w:i/>
          <w:lang w:eastAsia="ar-SA"/>
        </w:rPr>
        <w:t>growth in productivity and employment.</w:t>
      </w:r>
    </w:p>
    <w:p w:rsidR="00691D90" w:rsidRPr="00691D90" w:rsidRDefault="00691D90" w:rsidP="00C54B3A">
      <w:pPr>
        <w:pStyle w:val="Heading3"/>
        <w:spacing w:before="80" w:after="80" w:line="252" w:lineRule="auto"/>
        <w:rPr>
          <w:b w:val="0"/>
          <w:lang w:eastAsia="ar-SA"/>
        </w:rPr>
      </w:pPr>
      <w:r w:rsidRPr="00691D90">
        <w:rPr>
          <w:b w:val="0"/>
          <w:lang w:eastAsia="ar-SA"/>
        </w:rPr>
        <w:t>To accommodate and support forecast population growth 1,600,000 (25% increase) between 2016 and 2051, collectively, we aim to deliver an additional 400,000 jobs (12% increase) and accelerate the delivery of an additional 1,000,000 homes (37% increase) over the same period</w:t>
      </w:r>
      <w:r w:rsidRPr="00691D90">
        <w:rPr>
          <w:rStyle w:val="EndnoteReference"/>
          <w:b w:val="0"/>
          <w:lang w:eastAsia="ar-SA"/>
        </w:rPr>
        <w:endnoteReference w:id="3"/>
      </w:r>
      <w:r w:rsidRPr="00691D90">
        <w:rPr>
          <w:b w:val="0"/>
          <w:lang w:eastAsia="ar-SA"/>
        </w:rPr>
        <w:t>.</w:t>
      </w:r>
    </w:p>
    <w:p w:rsidR="00241E98" w:rsidRPr="000E0560" w:rsidRDefault="00D8167D" w:rsidP="00C54B3A">
      <w:pPr>
        <w:pStyle w:val="Heading3"/>
        <w:spacing w:before="80" w:after="80" w:line="252" w:lineRule="auto"/>
        <w:rPr>
          <w:lang w:eastAsia="ar-SA"/>
        </w:rPr>
      </w:pPr>
      <w:r w:rsidRPr="000E0560">
        <w:rPr>
          <w:lang w:eastAsia="ar-SA"/>
        </w:rPr>
        <w:t>W</w:t>
      </w:r>
      <w:r w:rsidR="00241E98" w:rsidRPr="000E0560">
        <w:rPr>
          <w:lang w:eastAsia="ar-SA"/>
        </w:rPr>
        <w:t>hat does that mean for growth and infrastructure investment in your area?</w:t>
      </w:r>
    </w:p>
    <w:p w:rsidR="007D242F" w:rsidRPr="000E0560" w:rsidRDefault="00691D90" w:rsidP="00C54B3A">
      <w:pPr>
        <w:spacing w:before="80" w:after="80" w:line="252" w:lineRule="auto"/>
        <w:rPr>
          <w:lang w:eastAsia="ar-SA"/>
        </w:rPr>
      </w:pPr>
      <w:r>
        <w:rPr>
          <w:lang w:eastAsia="ar-SA"/>
        </w:rPr>
        <w:t xml:space="preserve">To achieve the levels of growth mentioned above, </w:t>
      </w:r>
      <w:r w:rsidR="008F7298">
        <w:rPr>
          <w:lang w:eastAsia="ar-SA"/>
        </w:rPr>
        <w:t xml:space="preserve">we need </w:t>
      </w:r>
      <w:r w:rsidR="0091739D" w:rsidRPr="000E0560">
        <w:rPr>
          <w:lang w:eastAsia="ar-SA"/>
        </w:rPr>
        <w:t xml:space="preserve">to provide the right conditions for transformative growth. </w:t>
      </w:r>
      <w:r w:rsidR="008F7298">
        <w:rPr>
          <w:lang w:eastAsia="ar-SA"/>
        </w:rPr>
        <w:t xml:space="preserve">This requires </w:t>
      </w:r>
      <w:r w:rsidR="0091739D" w:rsidRPr="000E0560">
        <w:rPr>
          <w:lang w:eastAsia="ar-SA"/>
        </w:rPr>
        <w:t xml:space="preserve">an integrated growth strategy for investment </w:t>
      </w:r>
      <w:r w:rsidR="008F7298">
        <w:rPr>
          <w:lang w:eastAsia="ar-SA"/>
        </w:rPr>
        <w:t xml:space="preserve">supporting </w:t>
      </w:r>
      <w:r w:rsidR="0091739D" w:rsidRPr="000E0560">
        <w:rPr>
          <w:lang w:eastAsia="ar-SA"/>
        </w:rPr>
        <w:t>deliver</w:t>
      </w:r>
      <w:r w:rsidR="008F7298">
        <w:rPr>
          <w:lang w:eastAsia="ar-SA"/>
        </w:rPr>
        <w:t>y</w:t>
      </w:r>
      <w:r w:rsidR="0091739D" w:rsidRPr="000E0560">
        <w:rPr>
          <w:lang w:eastAsia="ar-SA"/>
        </w:rPr>
        <w:t xml:space="preserve"> </w:t>
      </w:r>
      <w:r w:rsidR="008F7298">
        <w:rPr>
          <w:lang w:eastAsia="ar-SA"/>
        </w:rPr>
        <w:t xml:space="preserve">of </w:t>
      </w:r>
      <w:r w:rsidR="0091739D" w:rsidRPr="000E0560">
        <w:rPr>
          <w:lang w:eastAsia="ar-SA"/>
        </w:rPr>
        <w:t xml:space="preserve">higher productivity jobs, higher levels of employment, and </w:t>
      </w:r>
      <w:r w:rsidR="000C6FA0">
        <w:rPr>
          <w:lang w:eastAsia="ar-SA"/>
        </w:rPr>
        <w:t>accelerated delivery of housing</w:t>
      </w:r>
      <w:r w:rsidR="0091739D" w:rsidRPr="000E0560">
        <w:rPr>
          <w:lang w:eastAsia="ar-SA"/>
        </w:rPr>
        <w:t xml:space="preserve"> to support business-led growth. </w:t>
      </w:r>
    </w:p>
    <w:p w:rsidR="00241E98" w:rsidRPr="000E0560" w:rsidRDefault="00D8167D" w:rsidP="00C54B3A">
      <w:pPr>
        <w:pStyle w:val="Heading3"/>
        <w:spacing w:before="80" w:after="80" w:line="252" w:lineRule="auto"/>
      </w:pPr>
      <w:r w:rsidRPr="000E0560">
        <w:t>W</w:t>
      </w:r>
      <w:r w:rsidR="00241E98" w:rsidRPr="000E0560">
        <w:t>hat steps are currently being taken to realise that vision, and what more needs to be done?</w:t>
      </w:r>
    </w:p>
    <w:p w:rsidR="00DB56CF" w:rsidRDefault="00DB56CF" w:rsidP="00DB56CF">
      <w:pPr>
        <w:rPr>
          <w:lang w:eastAsia="ar-SA"/>
        </w:rPr>
      </w:pPr>
      <w:r>
        <w:rPr>
          <w:lang w:eastAsia="ar-SA"/>
        </w:rPr>
        <w:t>In order to create the right conditions for growth, the following steps have been taken or are required:</w:t>
      </w:r>
    </w:p>
    <w:p w:rsidR="008379F7" w:rsidRDefault="008379F7" w:rsidP="00C54B3A">
      <w:pPr>
        <w:pStyle w:val="ListNumber"/>
        <w:spacing w:before="80" w:after="80" w:line="252" w:lineRule="auto"/>
        <w:rPr>
          <w:lang w:eastAsia="ar-SA"/>
        </w:rPr>
      </w:pPr>
      <w:r>
        <w:rPr>
          <w:lang w:eastAsia="ar-SA"/>
        </w:rPr>
        <w:t xml:space="preserve">The Government’s </w:t>
      </w:r>
      <w:r w:rsidRPr="000E0560">
        <w:rPr>
          <w:lang w:eastAsia="ar-SA"/>
        </w:rPr>
        <w:t>immediate commitment to fund and deliver the enhanced East-West Rail scheme</w:t>
      </w:r>
      <w:r w:rsidR="000C6FA0">
        <w:rPr>
          <w:lang w:eastAsia="ar-SA"/>
        </w:rPr>
        <w:t xml:space="preserve">, </w:t>
      </w:r>
      <w:r w:rsidR="00543C85">
        <w:rPr>
          <w:lang w:eastAsia="ar-SA"/>
        </w:rPr>
        <w:t xml:space="preserve">from Oxford </w:t>
      </w:r>
      <w:r w:rsidR="000C6FA0">
        <w:rPr>
          <w:lang w:eastAsia="ar-SA"/>
        </w:rPr>
        <w:t>to Cambridge</w:t>
      </w:r>
      <w:r w:rsidR="005B4C9D">
        <w:rPr>
          <w:lang w:eastAsia="ar-SA"/>
        </w:rPr>
        <w:t xml:space="preserve"> and potentially beyond to Felix</w:t>
      </w:r>
      <w:r w:rsidR="00414EB8">
        <w:rPr>
          <w:lang w:eastAsia="ar-SA"/>
        </w:rPr>
        <w:t>s</w:t>
      </w:r>
      <w:r w:rsidR="005B4C9D">
        <w:rPr>
          <w:lang w:eastAsia="ar-SA"/>
        </w:rPr>
        <w:t>towe</w:t>
      </w:r>
      <w:r>
        <w:rPr>
          <w:lang w:eastAsia="ar-SA"/>
        </w:rPr>
        <w:t>.</w:t>
      </w:r>
    </w:p>
    <w:p w:rsidR="008379F7" w:rsidRDefault="008379F7" w:rsidP="00C54B3A">
      <w:pPr>
        <w:pStyle w:val="ListNumber"/>
        <w:spacing w:before="80" w:after="80" w:line="252" w:lineRule="auto"/>
        <w:rPr>
          <w:lang w:eastAsia="ar-SA"/>
        </w:rPr>
      </w:pPr>
      <w:r>
        <w:rPr>
          <w:lang w:eastAsia="ar-SA"/>
        </w:rPr>
        <w:t>A rapid and clear decision on the Oxford to Cambridge E</w:t>
      </w:r>
      <w:r w:rsidRPr="000E0560">
        <w:rPr>
          <w:lang w:eastAsia="ar-SA"/>
        </w:rPr>
        <w:t>xpressway</w:t>
      </w:r>
      <w:r w:rsidR="00BF2A17">
        <w:rPr>
          <w:lang w:eastAsia="ar-SA"/>
        </w:rPr>
        <w:t>.</w:t>
      </w:r>
    </w:p>
    <w:p w:rsidR="00E32CD2" w:rsidRPr="000E0560" w:rsidRDefault="00A97BB7" w:rsidP="00C54B3A">
      <w:pPr>
        <w:pStyle w:val="ListNumber"/>
        <w:spacing w:before="80" w:after="80" w:line="252" w:lineRule="auto"/>
        <w:rPr>
          <w:lang w:eastAsia="ar-SA"/>
        </w:rPr>
      </w:pPr>
      <w:r w:rsidRPr="000E0560">
        <w:rPr>
          <w:lang w:eastAsia="ar-SA"/>
        </w:rPr>
        <w:t>F</w:t>
      </w:r>
      <w:r w:rsidR="00B361B0" w:rsidRPr="000E0560">
        <w:rPr>
          <w:lang w:eastAsia="ar-SA"/>
        </w:rPr>
        <w:t xml:space="preserve">urther </w:t>
      </w:r>
      <w:r w:rsidR="00566CA1" w:rsidRPr="000E0560">
        <w:rPr>
          <w:lang w:eastAsia="ar-SA"/>
        </w:rPr>
        <w:t>investment</w:t>
      </w:r>
      <w:r w:rsidR="00E32CD2" w:rsidRPr="000E0560">
        <w:rPr>
          <w:lang w:eastAsia="ar-SA"/>
        </w:rPr>
        <w:t>s</w:t>
      </w:r>
      <w:r w:rsidR="00566CA1" w:rsidRPr="000E0560">
        <w:rPr>
          <w:lang w:eastAsia="ar-SA"/>
        </w:rPr>
        <w:t xml:space="preserve"> in unlocking </w:t>
      </w:r>
      <w:r w:rsidR="00E32CD2" w:rsidRPr="000E0560">
        <w:rPr>
          <w:lang w:eastAsia="ar-SA"/>
        </w:rPr>
        <w:t xml:space="preserve">key </w:t>
      </w:r>
      <w:r w:rsidR="00566CA1" w:rsidRPr="000E0560">
        <w:rPr>
          <w:lang w:eastAsia="ar-SA"/>
        </w:rPr>
        <w:t>employment sites</w:t>
      </w:r>
      <w:r w:rsidR="00B361B0" w:rsidRPr="000E0560">
        <w:rPr>
          <w:lang w:eastAsia="ar-SA"/>
        </w:rPr>
        <w:t>:</w:t>
      </w:r>
      <w:r w:rsidR="00566CA1" w:rsidRPr="000E0560">
        <w:rPr>
          <w:lang w:eastAsia="ar-SA"/>
        </w:rPr>
        <w:t xml:space="preserve"> provision of land</w:t>
      </w:r>
      <w:r w:rsidR="00E32CD2" w:rsidRPr="000E0560">
        <w:rPr>
          <w:lang w:eastAsia="ar-SA"/>
        </w:rPr>
        <w:t>,</w:t>
      </w:r>
      <w:r w:rsidR="00566CA1" w:rsidRPr="000E0560">
        <w:rPr>
          <w:lang w:eastAsia="ar-SA"/>
        </w:rPr>
        <w:t xml:space="preserve"> forward funding </w:t>
      </w:r>
      <w:r w:rsidR="00D8167D" w:rsidRPr="000E0560">
        <w:rPr>
          <w:lang w:eastAsia="ar-SA"/>
        </w:rPr>
        <w:t xml:space="preserve">of </w:t>
      </w:r>
      <w:r w:rsidR="00566CA1" w:rsidRPr="000E0560">
        <w:rPr>
          <w:lang w:eastAsia="ar-SA"/>
        </w:rPr>
        <w:t>utilities</w:t>
      </w:r>
      <w:r w:rsidR="00E32CD2" w:rsidRPr="000E0560">
        <w:rPr>
          <w:lang w:eastAsia="ar-SA"/>
        </w:rPr>
        <w:t>,</w:t>
      </w:r>
      <w:r w:rsidR="00566CA1" w:rsidRPr="000E0560">
        <w:rPr>
          <w:lang w:eastAsia="ar-SA"/>
        </w:rPr>
        <w:t xml:space="preserve"> </w:t>
      </w:r>
      <w:r w:rsidR="008C789B" w:rsidRPr="000E0560">
        <w:rPr>
          <w:lang w:eastAsia="ar-SA"/>
        </w:rPr>
        <w:t>necessary transport infrastructure</w:t>
      </w:r>
      <w:r w:rsidR="00E32CD2" w:rsidRPr="000E0560">
        <w:rPr>
          <w:lang w:eastAsia="ar-SA"/>
        </w:rPr>
        <w:t>,</w:t>
      </w:r>
      <w:r w:rsidR="008C789B" w:rsidRPr="000E0560">
        <w:rPr>
          <w:lang w:eastAsia="ar-SA"/>
        </w:rPr>
        <w:t xml:space="preserve"> and working in partnership to navigate the planning process</w:t>
      </w:r>
      <w:r w:rsidRPr="000E0560">
        <w:rPr>
          <w:lang w:eastAsia="ar-SA"/>
        </w:rPr>
        <w:t>.</w:t>
      </w:r>
    </w:p>
    <w:p w:rsidR="00B361B0" w:rsidRPr="000E0560" w:rsidRDefault="00A97BB7" w:rsidP="00C54B3A">
      <w:pPr>
        <w:pStyle w:val="ListNumber"/>
        <w:spacing w:before="80" w:after="80" w:line="252" w:lineRule="auto"/>
        <w:rPr>
          <w:lang w:eastAsia="ar-SA"/>
        </w:rPr>
      </w:pPr>
      <w:r w:rsidRPr="000E0560">
        <w:rPr>
          <w:lang w:eastAsia="ar-SA"/>
        </w:rPr>
        <w:t>C</w:t>
      </w:r>
      <w:r w:rsidR="00B361B0" w:rsidRPr="000E0560">
        <w:rPr>
          <w:lang w:eastAsia="ar-SA"/>
        </w:rPr>
        <w:t>onsiderab</w:t>
      </w:r>
      <w:r w:rsidR="00414EB8">
        <w:rPr>
          <w:lang w:eastAsia="ar-SA"/>
        </w:rPr>
        <w:t xml:space="preserve">le </w:t>
      </w:r>
      <w:r w:rsidR="00B361B0" w:rsidRPr="000E0560">
        <w:rPr>
          <w:lang w:eastAsia="ar-SA"/>
        </w:rPr>
        <w:t>increas</w:t>
      </w:r>
      <w:r w:rsidR="00414EB8">
        <w:rPr>
          <w:lang w:eastAsia="ar-SA"/>
        </w:rPr>
        <w:t>e</w:t>
      </w:r>
      <w:r w:rsidR="00B361B0" w:rsidRPr="000E0560">
        <w:rPr>
          <w:lang w:eastAsia="ar-SA"/>
        </w:rPr>
        <w:t xml:space="preserve"> </w:t>
      </w:r>
      <w:r w:rsidR="00414EB8">
        <w:rPr>
          <w:lang w:eastAsia="ar-SA"/>
        </w:rPr>
        <w:t xml:space="preserve">in </w:t>
      </w:r>
      <w:r w:rsidR="00B361B0" w:rsidRPr="000E0560">
        <w:rPr>
          <w:lang w:eastAsia="ar-SA"/>
        </w:rPr>
        <w:t>the rate of housing completions</w:t>
      </w:r>
      <w:r w:rsidR="00414EB8">
        <w:rPr>
          <w:lang w:eastAsia="ar-SA"/>
        </w:rPr>
        <w:t xml:space="preserve">, building on recent </w:t>
      </w:r>
      <w:r w:rsidR="00C14D29">
        <w:rPr>
          <w:lang w:eastAsia="ar-SA"/>
        </w:rPr>
        <w:t>rates of increase on existing housing above the national average – a 2.5% increase (or 61,000 additional dwellings) within the corridor from 2012/13 to 2015/16 compared to 1.9% in England)</w:t>
      </w:r>
      <w:r w:rsidR="00572136" w:rsidRPr="000E0560">
        <w:rPr>
          <w:rStyle w:val="EndnoteReference"/>
          <w:lang w:eastAsia="ar-SA"/>
        </w:rPr>
        <w:endnoteReference w:id="4"/>
      </w:r>
      <w:r w:rsidRPr="000E0560">
        <w:rPr>
          <w:lang w:eastAsia="ar-SA"/>
        </w:rPr>
        <w:t>.</w:t>
      </w:r>
    </w:p>
    <w:p w:rsidR="00B361B0" w:rsidRPr="000E0560" w:rsidRDefault="009E6102" w:rsidP="00C54B3A">
      <w:pPr>
        <w:pStyle w:val="ListNumber"/>
        <w:spacing w:before="80" w:after="80" w:line="252" w:lineRule="auto"/>
        <w:rPr>
          <w:lang w:eastAsia="ar-SA"/>
        </w:rPr>
      </w:pPr>
      <w:r w:rsidRPr="000E0560">
        <w:rPr>
          <w:lang w:eastAsia="ar-SA"/>
        </w:rPr>
        <w:t>I</w:t>
      </w:r>
      <w:r w:rsidR="00B361B0" w:rsidRPr="000E0560">
        <w:rPr>
          <w:lang w:eastAsia="ar-SA"/>
        </w:rPr>
        <w:t xml:space="preserve">nvesting in </w:t>
      </w:r>
      <w:r w:rsidR="000C6FA0">
        <w:rPr>
          <w:lang w:eastAsia="ar-SA"/>
        </w:rPr>
        <w:t xml:space="preserve">quality </w:t>
      </w:r>
      <w:r w:rsidR="00B361B0" w:rsidRPr="000E0560">
        <w:rPr>
          <w:lang w:eastAsia="ar-SA"/>
        </w:rPr>
        <w:t xml:space="preserve">public services to support a growing population and build </w:t>
      </w:r>
      <w:r w:rsidR="00E32CD2" w:rsidRPr="000E0560">
        <w:rPr>
          <w:lang w:eastAsia="ar-SA"/>
        </w:rPr>
        <w:t xml:space="preserve">sustainable communities with a </w:t>
      </w:r>
      <w:r w:rsidR="00B361B0" w:rsidRPr="000E0560">
        <w:rPr>
          <w:lang w:eastAsia="ar-SA"/>
        </w:rPr>
        <w:t>high quality of life</w:t>
      </w:r>
      <w:r w:rsidRPr="000E0560">
        <w:rPr>
          <w:lang w:eastAsia="ar-SA"/>
        </w:rPr>
        <w:t>.</w:t>
      </w:r>
    </w:p>
    <w:p w:rsidR="008C789B" w:rsidRPr="000E0560" w:rsidRDefault="009E6102" w:rsidP="00C54B3A">
      <w:pPr>
        <w:pStyle w:val="ListNumber"/>
        <w:spacing w:before="80" w:after="80" w:line="252" w:lineRule="auto"/>
        <w:rPr>
          <w:lang w:eastAsia="ar-SA"/>
        </w:rPr>
      </w:pPr>
      <w:r w:rsidRPr="000E0560">
        <w:rPr>
          <w:lang w:eastAsia="ar-SA"/>
        </w:rPr>
        <w:t>I</w:t>
      </w:r>
      <w:r w:rsidR="008C789B" w:rsidRPr="000E0560">
        <w:rPr>
          <w:lang w:eastAsia="ar-SA"/>
        </w:rPr>
        <w:t xml:space="preserve">nvesting in </w:t>
      </w:r>
      <w:r w:rsidR="005135E7" w:rsidRPr="000E0560">
        <w:rPr>
          <w:lang w:eastAsia="ar-SA"/>
        </w:rPr>
        <w:t xml:space="preserve">local </w:t>
      </w:r>
      <w:r w:rsidR="008C789B" w:rsidRPr="000E0560">
        <w:rPr>
          <w:lang w:eastAsia="ar-SA"/>
        </w:rPr>
        <w:t xml:space="preserve">connectivity </w:t>
      </w:r>
      <w:r w:rsidR="005135E7" w:rsidRPr="000E0560">
        <w:rPr>
          <w:lang w:eastAsia="ar-SA"/>
        </w:rPr>
        <w:t xml:space="preserve">and </w:t>
      </w:r>
      <w:r w:rsidR="008C789B" w:rsidRPr="000E0560">
        <w:rPr>
          <w:lang w:eastAsia="ar-SA"/>
        </w:rPr>
        <w:t>capacity</w:t>
      </w:r>
      <w:r w:rsidR="005135E7" w:rsidRPr="000E0560">
        <w:rPr>
          <w:lang w:eastAsia="ar-SA"/>
        </w:rPr>
        <w:t xml:space="preserve"> to support development </w:t>
      </w:r>
      <w:r w:rsidR="008C789B" w:rsidRPr="000E0560">
        <w:rPr>
          <w:lang w:eastAsia="ar-SA"/>
        </w:rPr>
        <w:t>and to exp</w:t>
      </w:r>
      <w:r w:rsidRPr="000E0560">
        <w:rPr>
          <w:lang w:eastAsia="ar-SA"/>
        </w:rPr>
        <w:t>and labour and business markets.</w:t>
      </w:r>
    </w:p>
    <w:p w:rsidR="008C789B" w:rsidRPr="000E0560" w:rsidRDefault="009E6102" w:rsidP="00C54B3A">
      <w:pPr>
        <w:pStyle w:val="ListNumber"/>
        <w:spacing w:before="80" w:after="80" w:line="252" w:lineRule="auto"/>
        <w:rPr>
          <w:lang w:eastAsia="ar-SA"/>
        </w:rPr>
      </w:pPr>
      <w:r w:rsidRPr="000E0560">
        <w:rPr>
          <w:lang w:eastAsia="ar-SA"/>
        </w:rPr>
        <w:t>P</w:t>
      </w:r>
      <w:r w:rsidR="008C789B" w:rsidRPr="000E0560">
        <w:rPr>
          <w:lang w:eastAsia="ar-SA"/>
        </w:rPr>
        <w:t xml:space="preserve">roviding business support, particularly </w:t>
      </w:r>
      <w:r w:rsidR="00473E58" w:rsidRPr="000E0560">
        <w:rPr>
          <w:lang w:eastAsia="ar-SA"/>
        </w:rPr>
        <w:t xml:space="preserve">gap-funding </w:t>
      </w:r>
      <w:r w:rsidR="008C789B" w:rsidRPr="000E0560">
        <w:rPr>
          <w:lang w:eastAsia="ar-SA"/>
        </w:rPr>
        <w:t>to innovative, start-up businesses aligned to our highest productivity sectors</w:t>
      </w:r>
      <w:r w:rsidRPr="000E0560">
        <w:rPr>
          <w:lang w:eastAsia="ar-SA"/>
        </w:rPr>
        <w:t>.</w:t>
      </w:r>
    </w:p>
    <w:p w:rsidR="008C789B" w:rsidRPr="000E0560" w:rsidRDefault="009E6102" w:rsidP="00C54B3A">
      <w:pPr>
        <w:pStyle w:val="ListNumber"/>
        <w:spacing w:before="80" w:after="80" w:line="252" w:lineRule="auto"/>
        <w:rPr>
          <w:lang w:eastAsia="ar-SA"/>
        </w:rPr>
      </w:pPr>
      <w:r w:rsidRPr="000E0560">
        <w:rPr>
          <w:lang w:eastAsia="ar-SA"/>
        </w:rPr>
        <w:t>I</w:t>
      </w:r>
      <w:r w:rsidR="008C789B" w:rsidRPr="000E0560">
        <w:rPr>
          <w:lang w:eastAsia="ar-SA"/>
        </w:rPr>
        <w:t>nvesting in skills</w:t>
      </w:r>
      <w:r w:rsidR="000C6FA0">
        <w:rPr>
          <w:lang w:eastAsia="ar-SA"/>
        </w:rPr>
        <w:t xml:space="preserve"> </w:t>
      </w:r>
      <w:r w:rsidR="00543C85">
        <w:rPr>
          <w:lang w:eastAsia="ar-SA"/>
        </w:rPr>
        <w:t>(re)</w:t>
      </w:r>
      <w:r w:rsidR="000C6FA0">
        <w:rPr>
          <w:lang w:eastAsia="ar-SA"/>
        </w:rPr>
        <w:t>training</w:t>
      </w:r>
      <w:r w:rsidR="008C789B" w:rsidRPr="000E0560">
        <w:rPr>
          <w:lang w:eastAsia="ar-SA"/>
        </w:rPr>
        <w:t xml:space="preserve">, increasingly aligned to the needs of our </w:t>
      </w:r>
      <w:r w:rsidR="00E32CD2" w:rsidRPr="000E0560">
        <w:rPr>
          <w:lang w:eastAsia="ar-SA"/>
        </w:rPr>
        <w:t xml:space="preserve">emerging and </w:t>
      </w:r>
      <w:r w:rsidR="008C789B" w:rsidRPr="000E0560">
        <w:rPr>
          <w:lang w:eastAsia="ar-SA"/>
        </w:rPr>
        <w:t>highest growth sectors</w:t>
      </w:r>
      <w:r w:rsidR="00E32CD2" w:rsidRPr="000E0560">
        <w:rPr>
          <w:lang w:eastAsia="ar-SA"/>
        </w:rPr>
        <w:t xml:space="preserve"> and to meet identified skills shortages, particularly in construction</w:t>
      </w:r>
      <w:r w:rsidR="00543C85">
        <w:rPr>
          <w:lang w:eastAsia="ar-SA"/>
        </w:rPr>
        <w:t xml:space="preserve"> and engineering</w:t>
      </w:r>
      <w:r w:rsidR="008C789B" w:rsidRPr="000E0560">
        <w:rPr>
          <w:lang w:eastAsia="ar-SA"/>
        </w:rPr>
        <w:t>.</w:t>
      </w:r>
    </w:p>
    <w:p w:rsidR="00241E98" w:rsidRPr="00241E98" w:rsidRDefault="00D8167D" w:rsidP="00D8167D">
      <w:pPr>
        <w:pStyle w:val="Heading3"/>
      </w:pPr>
      <w:r>
        <w:t>W</w:t>
      </w:r>
      <w:r w:rsidR="00241E98" w:rsidRPr="00241E98">
        <w:t>hat value could new cross-corridor intercity road and rail links bring? How do these compare to other transport initiatives e.g. intra-city links, or wider infrastructure, priorities?</w:t>
      </w:r>
    </w:p>
    <w:p w:rsidR="00E07F5B" w:rsidRPr="00E07F5B" w:rsidRDefault="00E07F5B" w:rsidP="00E07F5B">
      <w:pPr>
        <w:pStyle w:val="Heading4"/>
      </w:pPr>
      <w:r w:rsidRPr="00E07F5B">
        <w:rPr>
          <w:lang w:eastAsia="ar-SA"/>
        </w:rPr>
        <w:t>Transport Infrastructure</w:t>
      </w:r>
    </w:p>
    <w:p w:rsidR="003D5DFF" w:rsidRDefault="00C8475B" w:rsidP="005135E7">
      <w:pPr>
        <w:rPr>
          <w:lang w:eastAsia="ar-SA"/>
        </w:rPr>
      </w:pPr>
      <w:r w:rsidRPr="00C8475B">
        <w:rPr>
          <w:b/>
          <w:lang w:eastAsia="ar-SA"/>
        </w:rPr>
        <w:t>East-West Rail</w:t>
      </w:r>
      <w:r>
        <w:rPr>
          <w:lang w:eastAsia="ar-SA"/>
        </w:rPr>
        <w:t xml:space="preserve">: </w:t>
      </w:r>
      <w:r w:rsidR="003D5DFF">
        <w:rPr>
          <w:lang w:eastAsia="ar-SA"/>
        </w:rPr>
        <w:t xml:space="preserve">Although housing completions have increased by 25% in the last five years, we know we can and must deliver housing numbers beyond this to achieve planned </w:t>
      </w:r>
      <w:r w:rsidR="00D8167D">
        <w:rPr>
          <w:lang w:eastAsia="ar-SA"/>
        </w:rPr>
        <w:t>growth</w:t>
      </w:r>
      <w:r w:rsidR="003D5DFF">
        <w:rPr>
          <w:lang w:eastAsia="ar-SA"/>
        </w:rPr>
        <w:t xml:space="preserve">. </w:t>
      </w:r>
      <w:r w:rsidR="00241E98">
        <w:rPr>
          <w:lang w:eastAsia="ar-SA"/>
        </w:rPr>
        <w:t>O</w:t>
      </w:r>
      <w:r w:rsidR="00D439BB" w:rsidRPr="00B361B0">
        <w:rPr>
          <w:lang w:eastAsia="ar-SA"/>
        </w:rPr>
        <w:t xml:space="preserve">ur </w:t>
      </w:r>
      <w:r w:rsidR="003D5DFF">
        <w:rPr>
          <w:lang w:eastAsia="ar-SA"/>
        </w:rPr>
        <w:t>L</w:t>
      </w:r>
      <w:r w:rsidR="00E43340" w:rsidRPr="00B361B0">
        <w:rPr>
          <w:lang w:eastAsia="ar-SA"/>
        </w:rPr>
        <w:t xml:space="preserve">ocal </w:t>
      </w:r>
      <w:r w:rsidR="003D5DFF">
        <w:rPr>
          <w:lang w:eastAsia="ar-SA"/>
        </w:rPr>
        <w:t>P</w:t>
      </w:r>
      <w:r w:rsidR="00D439BB" w:rsidRPr="00B361B0">
        <w:rPr>
          <w:lang w:eastAsia="ar-SA"/>
        </w:rPr>
        <w:t xml:space="preserve">lans assume </w:t>
      </w:r>
      <w:r w:rsidR="00050C65">
        <w:rPr>
          <w:lang w:eastAsia="ar-SA"/>
        </w:rPr>
        <w:t xml:space="preserve">that the </w:t>
      </w:r>
      <w:r w:rsidR="00D439BB" w:rsidRPr="00B361B0">
        <w:rPr>
          <w:lang w:eastAsia="ar-SA"/>
        </w:rPr>
        <w:t>East West Rail</w:t>
      </w:r>
      <w:r w:rsidR="008F6F93" w:rsidRPr="00B361B0">
        <w:rPr>
          <w:lang w:eastAsia="ar-SA"/>
        </w:rPr>
        <w:t xml:space="preserve"> </w:t>
      </w:r>
      <w:r w:rsidR="00E32CD2">
        <w:rPr>
          <w:lang w:eastAsia="ar-SA"/>
        </w:rPr>
        <w:t xml:space="preserve">between Oxford and Cambridge via Milton Keynes </w:t>
      </w:r>
      <w:r w:rsidR="00E43340" w:rsidRPr="00B361B0">
        <w:rPr>
          <w:lang w:eastAsia="ar-SA"/>
        </w:rPr>
        <w:t xml:space="preserve">will be </w:t>
      </w:r>
      <w:r w:rsidR="00050C65">
        <w:rPr>
          <w:lang w:eastAsia="ar-SA"/>
        </w:rPr>
        <w:t xml:space="preserve">implemented </w:t>
      </w:r>
      <w:r w:rsidR="00BF2A17">
        <w:rPr>
          <w:lang w:eastAsia="ar-SA"/>
        </w:rPr>
        <w:t>i</w:t>
      </w:r>
      <w:r w:rsidR="00050C65">
        <w:rPr>
          <w:lang w:eastAsia="ar-SA"/>
        </w:rPr>
        <w:t>n full</w:t>
      </w:r>
      <w:r w:rsidR="00E43340" w:rsidRPr="00B361B0">
        <w:rPr>
          <w:lang w:eastAsia="ar-SA"/>
        </w:rPr>
        <w:t xml:space="preserve">. </w:t>
      </w:r>
      <w:r w:rsidR="003D5DFF">
        <w:rPr>
          <w:lang w:eastAsia="ar-SA"/>
        </w:rPr>
        <w:t xml:space="preserve">Early commitment to fund and prompt delivery will build confidence </w:t>
      </w:r>
      <w:r w:rsidR="00050C65">
        <w:rPr>
          <w:lang w:eastAsia="ar-SA"/>
        </w:rPr>
        <w:t xml:space="preserve">required </w:t>
      </w:r>
      <w:r w:rsidR="003D5DFF">
        <w:rPr>
          <w:lang w:eastAsia="ar-SA"/>
        </w:rPr>
        <w:t xml:space="preserve">in the market to achieve </w:t>
      </w:r>
      <w:r w:rsidR="000C6FA0">
        <w:rPr>
          <w:lang w:eastAsia="ar-SA"/>
        </w:rPr>
        <w:t xml:space="preserve">this </w:t>
      </w:r>
      <w:r w:rsidR="003D5DFF">
        <w:rPr>
          <w:lang w:eastAsia="ar-SA"/>
        </w:rPr>
        <w:t xml:space="preserve">planned growth. </w:t>
      </w:r>
    </w:p>
    <w:p w:rsidR="00BF2A17" w:rsidRDefault="00C8475B" w:rsidP="003D5DFF">
      <w:pPr>
        <w:rPr>
          <w:lang w:eastAsia="ar-SA"/>
        </w:rPr>
      </w:pPr>
      <w:r w:rsidRPr="00C8475B">
        <w:rPr>
          <w:b/>
          <w:lang w:eastAsia="ar-SA"/>
        </w:rPr>
        <w:t xml:space="preserve">East West Expressway: </w:t>
      </w:r>
      <w:r w:rsidR="003D5DFF">
        <w:rPr>
          <w:lang w:eastAsia="ar-SA"/>
        </w:rPr>
        <w:t>Further s</w:t>
      </w:r>
      <w:r w:rsidR="00B361B0" w:rsidRPr="00674FD6">
        <w:rPr>
          <w:lang w:eastAsia="ar-SA"/>
        </w:rPr>
        <w:t>ignificant improvements to east-west connectivity</w:t>
      </w:r>
      <w:r w:rsidR="003D5DFF">
        <w:rPr>
          <w:lang w:eastAsia="ar-SA"/>
        </w:rPr>
        <w:t xml:space="preserve"> through an expressway</w:t>
      </w:r>
      <w:r w:rsidR="00B361B0" w:rsidRPr="00674FD6">
        <w:rPr>
          <w:lang w:eastAsia="ar-SA"/>
        </w:rPr>
        <w:t xml:space="preserve"> </w:t>
      </w:r>
      <w:r w:rsidR="003D5DFF">
        <w:rPr>
          <w:lang w:eastAsia="ar-SA"/>
        </w:rPr>
        <w:t xml:space="preserve">along the full length of the corridor will </w:t>
      </w:r>
      <w:r w:rsidR="00B361B0">
        <w:rPr>
          <w:lang w:eastAsia="ar-SA"/>
        </w:rPr>
        <w:t>help open</w:t>
      </w:r>
      <w:r w:rsidR="00E32CD2">
        <w:rPr>
          <w:lang w:eastAsia="ar-SA"/>
        </w:rPr>
        <w:t>-</w:t>
      </w:r>
      <w:r w:rsidR="00B361B0">
        <w:rPr>
          <w:lang w:eastAsia="ar-SA"/>
        </w:rPr>
        <w:t xml:space="preserve">up </w:t>
      </w:r>
      <w:r w:rsidR="003D5DFF">
        <w:rPr>
          <w:lang w:eastAsia="ar-SA"/>
        </w:rPr>
        <w:t xml:space="preserve">more strategic </w:t>
      </w:r>
      <w:r w:rsidR="00B361B0">
        <w:rPr>
          <w:lang w:eastAsia="ar-SA"/>
        </w:rPr>
        <w:t xml:space="preserve">sites for </w:t>
      </w:r>
      <w:r w:rsidR="009D75AD">
        <w:rPr>
          <w:lang w:eastAsia="ar-SA"/>
        </w:rPr>
        <w:t xml:space="preserve">housing </w:t>
      </w:r>
      <w:r w:rsidR="003D5DFF">
        <w:rPr>
          <w:lang w:eastAsia="ar-SA"/>
        </w:rPr>
        <w:t xml:space="preserve">and accelerate delivery, having the potential for higher levels of housing in the long-term.  It would </w:t>
      </w:r>
      <w:proofErr w:type="gramStart"/>
      <w:r w:rsidR="003D5DFF">
        <w:rPr>
          <w:lang w:eastAsia="ar-SA"/>
        </w:rPr>
        <w:t xml:space="preserve">also </w:t>
      </w:r>
      <w:r w:rsidR="000C6FA0">
        <w:rPr>
          <w:lang w:eastAsia="ar-SA"/>
        </w:rPr>
        <w:t xml:space="preserve"> increase</w:t>
      </w:r>
      <w:proofErr w:type="gramEnd"/>
      <w:r w:rsidR="000C6FA0">
        <w:rPr>
          <w:lang w:eastAsia="ar-SA"/>
        </w:rPr>
        <w:t xml:space="preserve"> the connectivity of</w:t>
      </w:r>
      <w:r w:rsidR="003D5DFF">
        <w:rPr>
          <w:lang w:eastAsia="ar-SA"/>
        </w:rPr>
        <w:t xml:space="preserve"> key employment sites</w:t>
      </w:r>
      <w:r w:rsidR="000C6FA0">
        <w:rPr>
          <w:lang w:eastAsia="ar-SA"/>
        </w:rPr>
        <w:t xml:space="preserve"> and attractiveness to investors and businesses</w:t>
      </w:r>
      <w:r w:rsidR="00050C65">
        <w:rPr>
          <w:lang w:eastAsia="ar-SA"/>
        </w:rPr>
        <w:t xml:space="preserve">. </w:t>
      </w:r>
    </w:p>
    <w:p w:rsidR="005C31A8" w:rsidRDefault="00C8475B" w:rsidP="003D5DFF">
      <w:pPr>
        <w:rPr>
          <w:lang w:eastAsia="ar-SA"/>
        </w:rPr>
      </w:pPr>
      <w:r>
        <w:rPr>
          <w:b/>
          <w:lang w:eastAsia="ar-SA"/>
        </w:rPr>
        <w:t xml:space="preserve">Key </w:t>
      </w:r>
      <w:r w:rsidRPr="00C8475B">
        <w:rPr>
          <w:b/>
          <w:lang w:eastAsia="ar-SA"/>
        </w:rPr>
        <w:t xml:space="preserve">Interchanges: </w:t>
      </w:r>
      <w:r w:rsidR="005C31A8">
        <w:rPr>
          <w:lang w:eastAsia="ar-SA"/>
        </w:rPr>
        <w:t xml:space="preserve">Investment is also required in </w:t>
      </w:r>
      <w:r w:rsidR="00627F4D">
        <w:rPr>
          <w:lang w:eastAsia="ar-SA"/>
        </w:rPr>
        <w:t xml:space="preserve">key </w:t>
      </w:r>
      <w:r w:rsidR="005C31A8">
        <w:rPr>
          <w:lang w:eastAsia="ar-SA"/>
        </w:rPr>
        <w:t>transport hubs to allow the rail systems to operate as a full network by facilitating interchange where lines meet and to ensure sufficient capacity for increased levels of demand</w:t>
      </w:r>
      <w:r w:rsidR="00543C85">
        <w:rPr>
          <w:lang w:eastAsia="ar-SA"/>
        </w:rPr>
        <w:t xml:space="preserve"> and encourage modal shift</w:t>
      </w:r>
      <w:r w:rsidR="005C31A8">
        <w:rPr>
          <w:lang w:eastAsia="ar-SA"/>
        </w:rPr>
        <w:t xml:space="preserve">. </w:t>
      </w:r>
      <w:r w:rsidR="00050C65">
        <w:rPr>
          <w:lang w:eastAsia="ar-SA"/>
        </w:rPr>
        <w:t xml:space="preserve"> The evidence is that well</w:t>
      </w:r>
      <w:r w:rsidR="00543C85">
        <w:rPr>
          <w:lang w:eastAsia="ar-SA"/>
        </w:rPr>
        <w:t>-</w:t>
      </w:r>
      <w:r w:rsidR="00050C65">
        <w:rPr>
          <w:lang w:eastAsia="ar-SA"/>
        </w:rPr>
        <w:t>connected</w:t>
      </w:r>
      <w:r w:rsidR="005C31A8">
        <w:rPr>
          <w:lang w:eastAsia="ar-SA"/>
        </w:rPr>
        <w:t xml:space="preserve"> high quality </w:t>
      </w:r>
      <w:r w:rsidR="00050C65">
        <w:rPr>
          <w:lang w:eastAsia="ar-SA"/>
        </w:rPr>
        <w:t xml:space="preserve">hubs </w:t>
      </w:r>
      <w:r w:rsidR="005C31A8">
        <w:rPr>
          <w:lang w:eastAsia="ar-SA"/>
        </w:rPr>
        <w:t>attract investment and support town and city centre transit oriented development and regeneration</w:t>
      </w:r>
      <w:r w:rsidR="00050C65">
        <w:rPr>
          <w:lang w:eastAsia="ar-SA"/>
        </w:rPr>
        <w:t>.</w:t>
      </w:r>
      <w:r w:rsidR="005C31A8">
        <w:rPr>
          <w:lang w:eastAsia="ar-SA"/>
        </w:rPr>
        <w:t xml:space="preserve"> </w:t>
      </w:r>
      <w:r w:rsidR="00050C65">
        <w:rPr>
          <w:lang w:eastAsia="ar-SA"/>
        </w:rPr>
        <w:t>T</w:t>
      </w:r>
      <w:r w:rsidR="005C31A8">
        <w:rPr>
          <w:lang w:eastAsia="ar-SA"/>
        </w:rPr>
        <w:t xml:space="preserve">he first </w:t>
      </w:r>
      <w:r w:rsidR="00627F4D">
        <w:rPr>
          <w:lang w:eastAsia="ar-SA"/>
        </w:rPr>
        <w:t xml:space="preserve">and ongoing </w:t>
      </w:r>
      <w:r w:rsidR="005C31A8">
        <w:rPr>
          <w:lang w:eastAsia="ar-SA"/>
        </w:rPr>
        <w:t xml:space="preserve">impressions </w:t>
      </w:r>
      <w:r w:rsidR="00627F4D">
        <w:rPr>
          <w:lang w:eastAsia="ar-SA"/>
        </w:rPr>
        <w:t xml:space="preserve">of </w:t>
      </w:r>
      <w:r w:rsidR="005C31A8">
        <w:rPr>
          <w:lang w:eastAsia="ar-SA"/>
        </w:rPr>
        <w:t xml:space="preserve">our </w:t>
      </w:r>
      <w:r w:rsidR="00627F4D">
        <w:rPr>
          <w:lang w:eastAsia="ar-SA"/>
        </w:rPr>
        <w:t xml:space="preserve">key </w:t>
      </w:r>
      <w:r w:rsidR="00050C65">
        <w:rPr>
          <w:lang w:eastAsia="ar-SA"/>
        </w:rPr>
        <w:t xml:space="preserve">transport </w:t>
      </w:r>
      <w:r w:rsidR="005C31A8">
        <w:rPr>
          <w:lang w:eastAsia="ar-SA"/>
        </w:rPr>
        <w:t xml:space="preserve">gateways matter. </w:t>
      </w:r>
    </w:p>
    <w:p w:rsidR="00374D67" w:rsidRDefault="00C8475B" w:rsidP="00494008">
      <w:pPr>
        <w:rPr>
          <w:lang w:eastAsia="ar-SA"/>
        </w:rPr>
      </w:pPr>
      <w:r w:rsidRPr="00C8475B">
        <w:rPr>
          <w:b/>
          <w:lang w:eastAsia="ar-SA"/>
        </w:rPr>
        <w:t>Stra</w:t>
      </w:r>
      <w:r>
        <w:rPr>
          <w:b/>
          <w:lang w:eastAsia="ar-SA"/>
        </w:rPr>
        <w:t>t</w:t>
      </w:r>
      <w:r w:rsidRPr="00C8475B">
        <w:rPr>
          <w:b/>
          <w:lang w:eastAsia="ar-SA"/>
        </w:rPr>
        <w:t xml:space="preserve">egic Local Connectivity: </w:t>
      </w:r>
      <w:r w:rsidR="009D75AD">
        <w:rPr>
          <w:lang w:eastAsia="ar-SA"/>
        </w:rPr>
        <w:t xml:space="preserve">Improved </w:t>
      </w:r>
      <w:r w:rsidR="00FC3886">
        <w:rPr>
          <w:lang w:eastAsia="ar-SA"/>
        </w:rPr>
        <w:t xml:space="preserve">‘first mile/last mile’ </w:t>
      </w:r>
      <w:r w:rsidR="009D75AD">
        <w:rPr>
          <w:lang w:eastAsia="ar-SA"/>
        </w:rPr>
        <w:t xml:space="preserve">links from </w:t>
      </w:r>
      <w:r w:rsidR="00A737EB">
        <w:rPr>
          <w:lang w:eastAsia="ar-SA"/>
        </w:rPr>
        <w:t xml:space="preserve">key growth locations </w:t>
      </w:r>
      <w:r w:rsidR="00FC3886">
        <w:rPr>
          <w:lang w:eastAsia="ar-SA"/>
        </w:rPr>
        <w:t xml:space="preserve">to </w:t>
      </w:r>
      <w:r w:rsidR="009D75AD">
        <w:rPr>
          <w:lang w:eastAsia="ar-SA"/>
        </w:rPr>
        <w:t xml:space="preserve">transport hubs </w:t>
      </w:r>
      <w:r w:rsidR="00FC3886">
        <w:rPr>
          <w:lang w:eastAsia="ar-SA"/>
        </w:rPr>
        <w:t xml:space="preserve">and </w:t>
      </w:r>
      <w:r w:rsidR="00050C65">
        <w:rPr>
          <w:lang w:eastAsia="ar-SA"/>
        </w:rPr>
        <w:t xml:space="preserve">network access points </w:t>
      </w:r>
      <w:r w:rsidR="00A737EB">
        <w:rPr>
          <w:lang w:eastAsia="ar-SA"/>
        </w:rPr>
        <w:t xml:space="preserve">would </w:t>
      </w:r>
      <w:r w:rsidR="009D75AD">
        <w:rPr>
          <w:lang w:eastAsia="ar-SA"/>
        </w:rPr>
        <w:t>extend potential labour markets and linkages between firms and supplier</w:t>
      </w:r>
      <w:r w:rsidR="00184700">
        <w:rPr>
          <w:lang w:eastAsia="ar-SA"/>
        </w:rPr>
        <w:t>s</w:t>
      </w:r>
      <w:r w:rsidR="009D75AD">
        <w:rPr>
          <w:lang w:eastAsia="ar-SA"/>
        </w:rPr>
        <w:t xml:space="preserve">, </w:t>
      </w:r>
      <w:r w:rsidR="00184700">
        <w:rPr>
          <w:lang w:eastAsia="ar-SA"/>
        </w:rPr>
        <w:t xml:space="preserve">central and support functions of businesses, thereby </w:t>
      </w:r>
      <w:r w:rsidR="009D75AD">
        <w:rPr>
          <w:lang w:eastAsia="ar-SA"/>
        </w:rPr>
        <w:t>helping build a knowledge-based ecosystem</w:t>
      </w:r>
      <w:r w:rsidR="00B361B0" w:rsidRPr="00674FD6">
        <w:rPr>
          <w:lang w:eastAsia="ar-SA"/>
        </w:rPr>
        <w:t>.</w:t>
      </w:r>
      <w:r w:rsidR="00A737EB">
        <w:rPr>
          <w:lang w:eastAsia="ar-SA"/>
        </w:rPr>
        <w:t xml:space="preserve"> </w:t>
      </w:r>
    </w:p>
    <w:p w:rsidR="00494008" w:rsidRDefault="00BF2A17" w:rsidP="00374D67">
      <w:r w:rsidRPr="00416B57">
        <w:rPr>
          <w:noProof/>
          <w:lang w:eastAsia="en-GB"/>
        </w:rPr>
        <mc:AlternateContent>
          <mc:Choice Requires="wps">
            <w:drawing>
              <wp:anchor distT="0" distB="0" distL="114300" distR="114300" simplePos="0" relativeHeight="251659264" behindDoc="0" locked="0" layoutInCell="1" allowOverlap="1" wp14:anchorId="5FB679B6" wp14:editId="76682716">
                <wp:simplePos x="0" y="0"/>
                <wp:positionH relativeFrom="column">
                  <wp:posOffset>-5316</wp:posOffset>
                </wp:positionH>
                <wp:positionV relativeFrom="paragraph">
                  <wp:posOffset>150568</wp:posOffset>
                </wp:positionV>
                <wp:extent cx="6273209" cy="4167963"/>
                <wp:effectExtent l="0" t="0" r="1333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209" cy="4167963"/>
                        </a:xfrm>
                        <a:prstGeom prst="rect">
                          <a:avLst/>
                        </a:prstGeom>
                        <a:solidFill>
                          <a:srgbClr val="FFFFFF"/>
                        </a:solidFill>
                        <a:ln w="9525">
                          <a:solidFill>
                            <a:srgbClr val="000000"/>
                          </a:solidFill>
                          <a:miter lim="800000"/>
                          <a:headEnd/>
                          <a:tailEnd/>
                        </a:ln>
                      </wps:spPr>
                      <wps:txbx>
                        <w:txbxContent>
                          <w:p w:rsidR="003D045B" w:rsidRDefault="003D045B" w:rsidP="003328B2">
                            <w:pPr>
                              <w:pStyle w:val="Heading3"/>
                              <w:ind w:left="142"/>
                              <w:rPr>
                                <w:lang w:eastAsia="ar-SA"/>
                              </w:rPr>
                            </w:pPr>
                            <w:r>
                              <w:rPr>
                                <w:lang w:eastAsia="ar-SA"/>
                              </w:rPr>
                              <w:t>High productivity jobs and their labour markets</w:t>
                            </w:r>
                          </w:p>
                          <w:p w:rsidR="003D045B" w:rsidRDefault="003D045B" w:rsidP="003328B2">
                            <w:pPr>
                              <w:ind w:left="142"/>
                              <w:rPr>
                                <w:lang w:eastAsia="ar-SA"/>
                              </w:rPr>
                            </w:pPr>
                            <w:r>
                              <w:rPr>
                                <w:lang w:eastAsia="ar-SA"/>
                              </w:rPr>
                              <w:t xml:space="preserve">Mapping of the workforce densities of the highest typical skill level Standard Occupational Classification (SOC) groups (i.e. 1 - Managers, Directors, and Senior Officials; 2 - Professional Occupations; and 3 - Associate Professional and Technical Occupations) and location densities of higher knowledge/productivity Standard Industrial Classification (SIC) codes shows that higher productivity </w:t>
                            </w:r>
                            <w:proofErr w:type="gramStart"/>
                            <w:r>
                              <w:rPr>
                                <w:lang w:eastAsia="ar-SA"/>
                              </w:rPr>
                              <w:t>jobs  and</w:t>
                            </w:r>
                            <w:proofErr w:type="gramEnd"/>
                            <w:r>
                              <w:rPr>
                                <w:lang w:eastAsia="ar-SA"/>
                              </w:rPr>
                              <w:t xml:space="preserve"> the homes of the people who work in these jobs are not co-located. See Figure 1 and Figure 2.</w:t>
                            </w:r>
                          </w:p>
                          <w:p w:rsidR="003D045B" w:rsidRDefault="003D045B" w:rsidP="003328B2">
                            <w:pPr>
                              <w:ind w:left="142"/>
                            </w:pPr>
                            <w:r>
                              <w:t xml:space="preserve">High concentrations of population within the top three SOC codes are concentrated within the London commuter belt especially within Buckinghamshire, Cambridge, Oxford, and historic towns and cities within Hertfordshire (e.g. St Albans and Harpenden). Typically, these areas are well-served by rail connections to central London, which provides a large pool of high-skilled, well-paid jobs for those in the higher skill level occupational classifications. Conversely, the concentration of knowledge jobs within the six Local Enterprise Partnership areas is more dispersed. Knowledge employment is concentrated within Cambridge and Oxford and their rural-urban hinterland, and is also focused on large research and business parks such as Oxford Science Vale, </w:t>
                            </w:r>
                            <w:proofErr w:type="spellStart"/>
                            <w:r>
                              <w:t>Granta</w:t>
                            </w:r>
                            <w:proofErr w:type="spellEnd"/>
                            <w:r>
                              <w:t xml:space="preserve"> Park, and the Cambridge Science Park. Other smaller clusters are dispersed throughout the corridor, such as Peterborough, Cranfield </w:t>
                            </w:r>
                            <w:proofErr w:type="spellStart"/>
                            <w:r>
                              <w:t>Technopark</w:t>
                            </w:r>
                            <w:proofErr w:type="spellEnd"/>
                            <w:r>
                              <w:t xml:space="preserve">, Milton Keynes, and Bicester. </w:t>
                            </w:r>
                          </w:p>
                          <w:p w:rsidR="003D045B" w:rsidRDefault="003D045B" w:rsidP="003328B2">
                            <w:pPr>
                              <w:ind w:left="142"/>
                            </w:pPr>
                            <w:r>
                              <w:t xml:space="preserve">In the corridor, high-knowledge employment is polycentric, often in areas with limited public transport connectivity. </w:t>
                            </w:r>
                            <w:proofErr w:type="gramStart"/>
                            <w:r>
                              <w:t>This points</w:t>
                            </w:r>
                            <w:proofErr w:type="gramEnd"/>
                            <w:r>
                              <w:t xml:space="preserve"> to a need for high quality, fast, frequent, and reliable public transport to better integrate knowledge employment across the region and to expand labour markets and to improve business-to-business connectivity.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pt;margin-top:11.85pt;width:493.95pt;height:3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">
                <v:textbox>
                  <w:txbxContent>
                    <w:p w:rsidR="003D045B" w:rsidRDefault="003D045B" w:rsidP="003328B2">
                      <w:pPr>
                        <w:pStyle w:val="Heading3"/>
                        <w:ind w:left="142"/>
                        <w:rPr>
                          <w:lang w:eastAsia="ar-SA"/>
                        </w:rPr>
                      </w:pPr>
                      <w:r>
                        <w:rPr>
                          <w:lang w:eastAsia="ar-SA"/>
                        </w:rPr>
                        <w:t>High productivity jobs and their labour markets</w:t>
                      </w:r>
                    </w:p>
                    <w:p w:rsidR="003D045B" w:rsidRDefault="003D045B" w:rsidP="003328B2">
                      <w:pPr>
                        <w:ind w:left="142"/>
                        <w:rPr>
                          <w:lang w:eastAsia="ar-SA"/>
                        </w:rPr>
                      </w:pPr>
                      <w:r>
                        <w:rPr>
                          <w:lang w:eastAsia="ar-SA"/>
                        </w:rPr>
                        <w:t xml:space="preserve">Mapping of the workforce densities of the highest typical skill level Standard Occupational Classification (SOC) groups (i.e. 1 - Managers, Directors, and Senior Officials; 2 - Professional Occupations; and 3 - Associate Professional and Technical Occupations) and location densities of higher knowledge/productivity Standard Industrial Classification (SIC) codes shows that higher productivity </w:t>
                      </w:r>
                      <w:proofErr w:type="gramStart"/>
                      <w:r>
                        <w:rPr>
                          <w:lang w:eastAsia="ar-SA"/>
                        </w:rPr>
                        <w:t>jobs  and</w:t>
                      </w:r>
                      <w:proofErr w:type="gramEnd"/>
                      <w:r>
                        <w:rPr>
                          <w:lang w:eastAsia="ar-SA"/>
                        </w:rPr>
                        <w:t xml:space="preserve"> the homes of the people who work in these jobs are not co-located. See Figure 1 and Figure 2.</w:t>
                      </w:r>
                    </w:p>
                    <w:p w:rsidR="003D045B" w:rsidRDefault="003D045B" w:rsidP="003328B2">
                      <w:pPr>
                        <w:ind w:left="142"/>
                      </w:pPr>
                      <w:r>
                        <w:t xml:space="preserve">High concentrations of population within the top three SOC codes are concentrated within the London commuter belt especially within Buckinghamshire, Cambridge, Oxford, and historic towns and cities within Hertfordshire (e.g. St Albans and Harpenden). Typically, these areas are well-served by rail connections to central London, which provides a large pool of high-skilled, well-paid jobs for those in the higher skill level occupational classifications. Conversely, the concentration of knowledge jobs within the six Local Enterprise Partnership areas is more dispersed. Knowledge employment is concentrated within Cambridge and Oxford and their rural-urban hinterland, and is also focused on large research and business parks such as Oxford Science Vale, </w:t>
                      </w:r>
                      <w:proofErr w:type="spellStart"/>
                      <w:r>
                        <w:t>Granta</w:t>
                      </w:r>
                      <w:proofErr w:type="spellEnd"/>
                      <w:r>
                        <w:t xml:space="preserve"> Park, and the Cambridge Science Park. Other smaller clusters are dispersed throughout the corridor, such as Peterborough, Cranfield </w:t>
                      </w:r>
                      <w:proofErr w:type="spellStart"/>
                      <w:r>
                        <w:t>Technopark</w:t>
                      </w:r>
                      <w:proofErr w:type="spellEnd"/>
                      <w:r>
                        <w:t xml:space="preserve">, Milton Keynes, and Bicester. </w:t>
                      </w:r>
                    </w:p>
                    <w:p w:rsidR="003D045B" w:rsidRDefault="003D045B" w:rsidP="003328B2">
                      <w:pPr>
                        <w:ind w:left="142"/>
                      </w:pPr>
                      <w:r>
                        <w:t xml:space="preserve">In the corridor, high-knowledge employment is polycentric, often in areas with limited public transport connectivity. </w:t>
                      </w:r>
                      <w:proofErr w:type="gramStart"/>
                      <w:r>
                        <w:t>This points</w:t>
                      </w:r>
                      <w:proofErr w:type="gramEnd"/>
                      <w:r>
                        <w:t xml:space="preserve"> to a need for high quality, fast, frequent, and reliable public transport to better integrate knowledge employment across the region and to expand labour markets and to improve business-to-business connectivity.</w:t>
                      </w:r>
                    </w:p>
                  </w:txbxContent>
                </v:textbox>
              </v:shape>
            </w:pict>
          </mc:Fallback>
        </mc:AlternateContent>
      </w:r>
      <w:r w:rsidR="00494008">
        <w:t xml:space="preserve"> </w:t>
      </w:r>
    </w:p>
    <w:p w:rsidR="00B361B0" w:rsidRPr="00674FD6" w:rsidRDefault="00B361B0" w:rsidP="003D5DFF">
      <w:pPr>
        <w:rPr>
          <w:lang w:eastAsia="ar-SA"/>
        </w:rPr>
      </w:pPr>
    </w:p>
    <w:p w:rsidR="00374D67" w:rsidRDefault="00374D67">
      <w:pPr>
        <w:spacing w:before="140" w:after="140" w:line="280" w:lineRule="atLeast"/>
        <w:rPr>
          <w:lang w:eastAsia="ar-SA"/>
        </w:rPr>
      </w:pPr>
      <w:r>
        <w:rPr>
          <w:lang w:eastAsia="ar-SA"/>
        </w:rPr>
        <w:br w:type="page"/>
      </w:r>
    </w:p>
    <w:p w:rsidR="00756DB1" w:rsidRDefault="00756DB1" w:rsidP="00494008">
      <w:pPr>
        <w:rPr>
          <w:lang w:eastAsia="ar-SA"/>
        </w:rPr>
        <w:sectPr w:rsidR="00756DB1" w:rsidSect="003328B2">
          <w:footerReference w:type="default" r:id="rId10"/>
          <w:pgSz w:w="11907" w:h="16839" w:code="9"/>
          <w:pgMar w:top="1440" w:right="1080" w:bottom="1440" w:left="1080" w:header="720" w:footer="720" w:gutter="0"/>
          <w:cols w:space="708"/>
          <w:docGrid w:linePitch="360"/>
        </w:sectPr>
      </w:pPr>
    </w:p>
    <w:p w:rsidR="00756DB1" w:rsidRDefault="00756DB1" w:rsidP="00756DB1">
      <w:pPr>
        <w:pStyle w:val="Caption"/>
        <w:rPr>
          <w:lang w:eastAsia="ar-SA"/>
        </w:rPr>
      </w:pPr>
      <w:r>
        <w:rPr>
          <w:lang w:eastAsia="ar-SA"/>
        </w:rPr>
        <w:t xml:space="preserve">Figure </w:t>
      </w:r>
      <w:r>
        <w:rPr>
          <w:lang w:eastAsia="ar-SA"/>
        </w:rPr>
        <w:fldChar w:fldCharType="begin"/>
      </w:r>
      <w:r>
        <w:rPr>
          <w:lang w:eastAsia="ar-SA"/>
        </w:rPr>
        <w:instrText xml:space="preserve"> SEQ Figure \* ARABIC \* MERGEFORMAT </w:instrText>
      </w:r>
      <w:r>
        <w:rPr>
          <w:lang w:eastAsia="ar-SA"/>
        </w:rPr>
        <w:fldChar w:fldCharType="separate"/>
      </w:r>
      <w:r w:rsidR="004B6CCD">
        <w:rPr>
          <w:noProof/>
          <w:lang w:eastAsia="ar-SA"/>
        </w:rPr>
        <w:t>1</w:t>
      </w:r>
      <w:r>
        <w:rPr>
          <w:lang w:eastAsia="ar-SA"/>
        </w:rPr>
        <w:fldChar w:fldCharType="end"/>
      </w:r>
      <w:r>
        <w:rPr>
          <w:lang w:eastAsia="ar-SA"/>
        </w:rPr>
        <w:t>: Percentage of higher productivity ‘knowledge jobs’ by Medium Super Output Area</w:t>
      </w:r>
    </w:p>
    <w:p w:rsidR="005A2525" w:rsidRDefault="00756DB1" w:rsidP="00494008">
      <w:pPr>
        <w:rPr>
          <w:lang w:eastAsia="ar-SA"/>
        </w:rPr>
      </w:pPr>
      <w:r w:rsidRPr="00756DB1">
        <w:rPr>
          <w:noProof/>
          <w:lang w:eastAsia="en-GB"/>
        </w:rPr>
        <w:drawing>
          <wp:inline distT="0" distB="0" distL="0" distR="0" wp14:anchorId="6EE94F62" wp14:editId="07975D1D">
            <wp:extent cx="7884543" cy="548127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884543" cy="5481275"/>
                    </a:xfrm>
                    <a:prstGeom prst="rect">
                      <a:avLst/>
                    </a:prstGeom>
                  </pic:spPr>
                </pic:pic>
              </a:graphicData>
            </a:graphic>
          </wp:inline>
        </w:drawing>
      </w:r>
    </w:p>
    <w:p w:rsidR="0097681F" w:rsidRDefault="0097681F" w:rsidP="0097681F">
      <w:pPr>
        <w:pStyle w:val="Caption"/>
        <w:rPr>
          <w:lang w:eastAsia="ar-SA"/>
        </w:rPr>
      </w:pPr>
      <w:r>
        <w:rPr>
          <w:lang w:eastAsia="ar-SA"/>
        </w:rPr>
        <w:t xml:space="preserve">Figure </w:t>
      </w:r>
      <w:r>
        <w:rPr>
          <w:lang w:eastAsia="ar-SA"/>
        </w:rPr>
        <w:fldChar w:fldCharType="begin"/>
      </w:r>
      <w:r>
        <w:rPr>
          <w:lang w:eastAsia="ar-SA"/>
        </w:rPr>
        <w:instrText xml:space="preserve"> SEQ Figure \* ARABIC \* MERGEFORMAT </w:instrText>
      </w:r>
      <w:r>
        <w:rPr>
          <w:lang w:eastAsia="ar-SA"/>
        </w:rPr>
        <w:fldChar w:fldCharType="separate"/>
      </w:r>
      <w:r w:rsidR="004B6CCD">
        <w:rPr>
          <w:noProof/>
          <w:lang w:eastAsia="ar-SA"/>
        </w:rPr>
        <w:t>2</w:t>
      </w:r>
      <w:r>
        <w:rPr>
          <w:lang w:eastAsia="ar-SA"/>
        </w:rPr>
        <w:fldChar w:fldCharType="end"/>
      </w:r>
      <w:r>
        <w:rPr>
          <w:lang w:eastAsia="ar-SA"/>
        </w:rPr>
        <w:t>: Percentage of workforce in three highest skilled Standard Occupational Classifications by Medium Super Output Area</w:t>
      </w:r>
    </w:p>
    <w:p w:rsidR="00756DB1" w:rsidRDefault="003328B2" w:rsidP="00494008">
      <w:pPr>
        <w:rPr>
          <w:lang w:eastAsia="ar-SA"/>
        </w:rPr>
      </w:pPr>
      <w:r w:rsidRPr="003328B2">
        <w:rPr>
          <w:noProof/>
          <w:lang w:eastAsia="en-GB"/>
        </w:rPr>
        <w:drawing>
          <wp:inline distT="0" distB="0" distL="0" distR="0" wp14:anchorId="0952B72D" wp14:editId="4549F48A">
            <wp:extent cx="7858690" cy="5459104"/>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858690" cy="5459104"/>
                    </a:xfrm>
                    <a:prstGeom prst="rect">
                      <a:avLst/>
                    </a:prstGeom>
                  </pic:spPr>
                </pic:pic>
              </a:graphicData>
            </a:graphic>
          </wp:inline>
        </w:drawing>
      </w:r>
    </w:p>
    <w:p w:rsidR="005A2525" w:rsidRDefault="005A2525" w:rsidP="00494008">
      <w:pPr>
        <w:rPr>
          <w:lang w:eastAsia="ar-SA"/>
        </w:rPr>
        <w:sectPr w:rsidR="005A2525" w:rsidSect="00756DB1">
          <w:pgSz w:w="16839" w:h="11907" w:orient="landscape" w:code="9"/>
          <w:pgMar w:top="1440" w:right="1440" w:bottom="1440" w:left="1440" w:header="720" w:footer="720" w:gutter="0"/>
          <w:cols w:space="708"/>
          <w:docGrid w:linePitch="360"/>
        </w:sectPr>
      </w:pPr>
    </w:p>
    <w:p w:rsidR="00D439BB" w:rsidRPr="004362EE" w:rsidRDefault="00494008" w:rsidP="005135E7">
      <w:pPr>
        <w:rPr>
          <w:lang w:eastAsia="ar-SA"/>
        </w:rPr>
      </w:pPr>
      <w:r>
        <w:rPr>
          <w:lang w:eastAsia="ar-SA"/>
        </w:rPr>
        <w:t xml:space="preserve">Together East-West Rail, an </w:t>
      </w:r>
      <w:r w:rsidRPr="00B361B0">
        <w:rPr>
          <w:lang w:eastAsia="ar-SA"/>
        </w:rPr>
        <w:t>expressway</w:t>
      </w:r>
      <w:r>
        <w:rPr>
          <w:lang w:eastAsia="ar-SA"/>
        </w:rPr>
        <w:t xml:space="preserve">, </w:t>
      </w:r>
      <w:r w:rsidR="00E07F5B">
        <w:rPr>
          <w:lang w:eastAsia="ar-SA"/>
        </w:rPr>
        <w:t xml:space="preserve">and </w:t>
      </w:r>
      <w:r>
        <w:rPr>
          <w:lang w:eastAsia="ar-SA"/>
        </w:rPr>
        <w:t xml:space="preserve">investment </w:t>
      </w:r>
      <w:r w:rsidR="00E07F5B">
        <w:rPr>
          <w:lang w:eastAsia="ar-SA"/>
        </w:rPr>
        <w:t xml:space="preserve">in </w:t>
      </w:r>
      <w:r>
        <w:rPr>
          <w:lang w:eastAsia="ar-SA"/>
        </w:rPr>
        <w:t>key interchanges</w:t>
      </w:r>
      <w:r w:rsidR="00E07F5B">
        <w:rPr>
          <w:lang w:eastAsia="ar-SA"/>
        </w:rPr>
        <w:t xml:space="preserve"> and strategic local connectivity </w:t>
      </w:r>
      <w:r w:rsidRPr="00B361B0">
        <w:rPr>
          <w:lang w:eastAsia="ar-SA"/>
        </w:rPr>
        <w:t>will allow partners to ‘crowd in’ investment along the corridor and connect existing urban centre</w:t>
      </w:r>
      <w:r>
        <w:rPr>
          <w:lang w:eastAsia="ar-SA"/>
        </w:rPr>
        <w:t>s</w:t>
      </w:r>
      <w:r w:rsidRPr="00B361B0">
        <w:rPr>
          <w:lang w:eastAsia="ar-SA"/>
        </w:rPr>
        <w:t xml:space="preserve"> and areas of rapid housing growth into these two critical connectivity spines.</w:t>
      </w:r>
      <w:r>
        <w:rPr>
          <w:lang w:eastAsia="ar-SA"/>
        </w:rPr>
        <w:t xml:space="preserve"> Any strategic infrastructure planning, investment and delivery should consider possible changes in technology and how to accommodate, adapt and embrace change to future-proof the investment.</w:t>
      </w:r>
      <w:r w:rsidR="00402A13">
        <w:rPr>
          <w:lang w:eastAsia="ar-SA"/>
        </w:rPr>
        <w:t xml:space="preserve"> </w:t>
      </w:r>
      <w:r w:rsidR="00D439BB" w:rsidRPr="004362EE">
        <w:rPr>
          <w:lang w:eastAsia="ar-SA"/>
        </w:rPr>
        <w:t xml:space="preserve">It is </w:t>
      </w:r>
      <w:r w:rsidR="00E07F5B">
        <w:rPr>
          <w:lang w:eastAsia="ar-SA"/>
        </w:rPr>
        <w:t xml:space="preserve">important that priorities are </w:t>
      </w:r>
      <w:r w:rsidR="00D439BB" w:rsidRPr="004362EE">
        <w:rPr>
          <w:lang w:eastAsia="ar-SA"/>
        </w:rPr>
        <w:t xml:space="preserve">not </w:t>
      </w:r>
      <w:r w:rsidR="00E07F5B">
        <w:rPr>
          <w:lang w:eastAsia="ar-SA"/>
        </w:rPr>
        <w:t xml:space="preserve">seen as </w:t>
      </w:r>
      <w:r w:rsidR="00D439BB" w:rsidRPr="004362EE">
        <w:rPr>
          <w:lang w:eastAsia="ar-SA"/>
        </w:rPr>
        <w:t xml:space="preserve">an </w:t>
      </w:r>
      <w:r w:rsidR="00E07F5B">
        <w:rPr>
          <w:lang w:eastAsia="ar-SA"/>
        </w:rPr>
        <w:t>‘either/</w:t>
      </w:r>
      <w:r w:rsidR="00D439BB" w:rsidRPr="004362EE">
        <w:rPr>
          <w:lang w:eastAsia="ar-SA"/>
        </w:rPr>
        <w:t>or</w:t>
      </w:r>
      <w:r w:rsidR="00E07F5B">
        <w:rPr>
          <w:lang w:eastAsia="ar-SA"/>
        </w:rPr>
        <w:t>’</w:t>
      </w:r>
      <w:r w:rsidR="00D439BB" w:rsidRPr="004362EE">
        <w:rPr>
          <w:lang w:eastAsia="ar-SA"/>
        </w:rPr>
        <w:t xml:space="preserve"> between road and public transport; or strategic or local; or transport or other infrastructure – integrated planning, funding</w:t>
      </w:r>
      <w:r w:rsidR="000477FA">
        <w:rPr>
          <w:lang w:eastAsia="ar-SA"/>
        </w:rPr>
        <w:t>,</w:t>
      </w:r>
      <w:r w:rsidR="00D439BB" w:rsidRPr="004362EE">
        <w:rPr>
          <w:lang w:eastAsia="ar-SA"/>
        </w:rPr>
        <w:t xml:space="preserve"> and delivery are required.</w:t>
      </w:r>
    </w:p>
    <w:p w:rsidR="00E07F5B" w:rsidRDefault="00E07F5B" w:rsidP="00E07F5B">
      <w:pPr>
        <w:pStyle w:val="Heading4"/>
        <w:rPr>
          <w:lang w:eastAsia="ar-SA"/>
        </w:rPr>
      </w:pPr>
      <w:r>
        <w:rPr>
          <w:lang w:eastAsia="ar-SA"/>
        </w:rPr>
        <w:t>Priorities and Wider Infrastructure</w:t>
      </w:r>
    </w:p>
    <w:p w:rsidR="00B16905" w:rsidRDefault="00B16905" w:rsidP="00B16905">
      <w:r>
        <w:rPr>
          <w:lang w:eastAsia="ar-SA"/>
        </w:rPr>
        <w:t xml:space="preserve">Transformational change </w:t>
      </w:r>
      <w:r w:rsidR="0064158A">
        <w:rPr>
          <w:lang w:eastAsia="ar-SA"/>
        </w:rPr>
        <w:t xml:space="preserve">resulting in a step-change in growth, </w:t>
      </w:r>
      <w:r>
        <w:rPr>
          <w:lang w:eastAsia="ar-SA"/>
        </w:rPr>
        <w:t xml:space="preserve">rather than </w:t>
      </w:r>
      <w:r w:rsidR="0064158A">
        <w:rPr>
          <w:lang w:eastAsia="ar-SA"/>
        </w:rPr>
        <w:t xml:space="preserve">incremental growth in line with recent trends, </w:t>
      </w:r>
      <w:r>
        <w:rPr>
          <w:lang w:eastAsia="ar-SA"/>
        </w:rPr>
        <w:t xml:space="preserve">will require </w:t>
      </w:r>
      <w:r>
        <w:t>collective development of an integrated growth strategy by some form of corridor-wide strategic body for growth</w:t>
      </w:r>
      <w:r w:rsidR="00804CCE">
        <w:t>. To deliver greater and accelerated growth for UK PLC in Exchequer benefits, will need</w:t>
      </w:r>
      <w:r>
        <w:t xml:space="preserve"> the buy-in of businesses, academia, and local and central government. The N</w:t>
      </w:r>
      <w:r w:rsidR="00414EB8">
        <w:t xml:space="preserve">ational </w:t>
      </w:r>
      <w:r>
        <w:t>I</w:t>
      </w:r>
      <w:r w:rsidR="00414EB8">
        <w:t xml:space="preserve">nfrastructure </w:t>
      </w:r>
      <w:r>
        <w:t>C</w:t>
      </w:r>
      <w:r w:rsidR="00414EB8">
        <w:t>ommission</w:t>
      </w:r>
      <w:r>
        <w:t xml:space="preserve"> can support accelerated delivery by identify</w:t>
      </w:r>
      <w:r w:rsidR="00184700">
        <w:t>ing</w:t>
      </w:r>
      <w:r>
        <w:t xml:space="preserve"> priorities for investment and helping to give certainty of investment.</w:t>
      </w:r>
    </w:p>
    <w:p w:rsidR="00B16905" w:rsidRDefault="00804CCE" w:rsidP="005135E7">
      <w:pPr>
        <w:rPr>
          <w:lang w:eastAsia="ar-SA"/>
        </w:rPr>
      </w:pPr>
      <w:r>
        <w:rPr>
          <w:lang w:eastAsia="ar-SA"/>
        </w:rPr>
        <w:t xml:space="preserve">Beyond the infrastructure listed above, </w:t>
      </w:r>
      <w:r w:rsidR="00B361B0">
        <w:rPr>
          <w:lang w:eastAsia="ar-SA"/>
        </w:rPr>
        <w:t>our p</w:t>
      </w:r>
      <w:r w:rsidR="00D439BB" w:rsidRPr="004362EE">
        <w:rPr>
          <w:lang w:eastAsia="ar-SA"/>
        </w:rPr>
        <w:t>riorities for national decision-making</w:t>
      </w:r>
      <w:r w:rsidR="005135E7">
        <w:rPr>
          <w:lang w:eastAsia="ar-SA"/>
        </w:rPr>
        <w:t xml:space="preserve"> </w:t>
      </w:r>
      <w:r w:rsidR="005135E7" w:rsidRPr="004362EE">
        <w:rPr>
          <w:lang w:eastAsia="ar-SA"/>
        </w:rPr>
        <w:t>and funding</w:t>
      </w:r>
      <w:r w:rsidR="00B16905">
        <w:rPr>
          <w:lang w:eastAsia="ar-SA"/>
        </w:rPr>
        <w:t xml:space="preserve"> are:</w:t>
      </w:r>
    </w:p>
    <w:p w:rsidR="00B16905" w:rsidRDefault="000477FA" w:rsidP="00B16905">
      <w:pPr>
        <w:pStyle w:val="ListBullet"/>
        <w:rPr>
          <w:lang w:eastAsia="ar-SA"/>
        </w:rPr>
      </w:pPr>
      <w:r w:rsidRPr="000477FA">
        <w:rPr>
          <w:lang w:eastAsia="ar-SA"/>
        </w:rPr>
        <w:t>Identification of a</w:t>
      </w:r>
      <w:r w:rsidR="007D7724">
        <w:rPr>
          <w:lang w:eastAsia="ar-SA"/>
        </w:rPr>
        <w:t>n</w:t>
      </w:r>
      <w:r w:rsidRPr="000477FA">
        <w:rPr>
          <w:lang w:eastAsia="ar-SA"/>
        </w:rPr>
        <w:t xml:space="preserve"> </w:t>
      </w:r>
      <w:r w:rsidR="007D7724">
        <w:rPr>
          <w:lang w:eastAsia="ar-SA"/>
        </w:rPr>
        <w:t xml:space="preserve">integrated </w:t>
      </w:r>
      <w:r w:rsidRPr="000477FA">
        <w:rPr>
          <w:lang w:eastAsia="ar-SA"/>
        </w:rPr>
        <w:t xml:space="preserve">sub-national road </w:t>
      </w:r>
      <w:r w:rsidRPr="009D75AD">
        <w:rPr>
          <w:lang w:eastAsia="ar-SA"/>
        </w:rPr>
        <w:t>network</w:t>
      </w:r>
      <w:r w:rsidRPr="000477FA">
        <w:rPr>
          <w:lang w:eastAsia="ar-SA"/>
        </w:rPr>
        <w:t xml:space="preserve"> </w:t>
      </w:r>
      <w:r w:rsidR="007D7724">
        <w:rPr>
          <w:lang w:eastAsia="ar-SA"/>
        </w:rPr>
        <w:t xml:space="preserve">made up of </w:t>
      </w:r>
      <w:r w:rsidRPr="000477FA">
        <w:rPr>
          <w:lang w:eastAsia="ar-SA"/>
        </w:rPr>
        <w:t xml:space="preserve">Highways England’s network </w:t>
      </w:r>
      <w:r w:rsidR="00804CCE">
        <w:rPr>
          <w:lang w:eastAsia="ar-SA"/>
        </w:rPr>
        <w:t xml:space="preserve">and </w:t>
      </w:r>
      <w:r w:rsidRPr="000477FA">
        <w:rPr>
          <w:lang w:eastAsia="ar-SA"/>
        </w:rPr>
        <w:t>local</w:t>
      </w:r>
      <w:r w:rsidR="007D7724">
        <w:rPr>
          <w:lang w:eastAsia="ar-SA"/>
        </w:rPr>
        <w:t>ly</w:t>
      </w:r>
      <w:r w:rsidRPr="000477FA">
        <w:rPr>
          <w:lang w:eastAsia="ar-SA"/>
        </w:rPr>
        <w:t xml:space="preserve"> </w:t>
      </w:r>
      <w:r w:rsidR="007D7724">
        <w:rPr>
          <w:lang w:eastAsia="ar-SA"/>
        </w:rPr>
        <w:t xml:space="preserve">managed </w:t>
      </w:r>
      <w:proofErr w:type="gramStart"/>
      <w:r w:rsidR="007D7724">
        <w:rPr>
          <w:lang w:eastAsia="ar-SA"/>
        </w:rPr>
        <w:t xml:space="preserve">roads </w:t>
      </w:r>
      <w:r w:rsidRPr="000477FA">
        <w:rPr>
          <w:lang w:eastAsia="ar-SA"/>
        </w:rPr>
        <w:t>that need</w:t>
      </w:r>
      <w:r w:rsidR="007D7724">
        <w:rPr>
          <w:lang w:eastAsia="ar-SA"/>
        </w:rPr>
        <w:t>s</w:t>
      </w:r>
      <w:proofErr w:type="gramEnd"/>
      <w:r w:rsidRPr="000477FA">
        <w:rPr>
          <w:lang w:eastAsia="ar-SA"/>
        </w:rPr>
        <w:t xml:space="preserve"> </w:t>
      </w:r>
      <w:r w:rsidR="007D7724" w:rsidRPr="000477FA">
        <w:rPr>
          <w:lang w:eastAsia="ar-SA"/>
        </w:rPr>
        <w:t xml:space="preserve">co-ordinated </w:t>
      </w:r>
      <w:r w:rsidRPr="000477FA">
        <w:rPr>
          <w:lang w:eastAsia="ar-SA"/>
        </w:rPr>
        <w:t>planning</w:t>
      </w:r>
      <w:r w:rsidR="00804CCE">
        <w:rPr>
          <w:lang w:eastAsia="ar-SA"/>
        </w:rPr>
        <w:t>,</w:t>
      </w:r>
      <w:r w:rsidRPr="000477FA">
        <w:rPr>
          <w:lang w:eastAsia="ar-SA"/>
        </w:rPr>
        <w:t xml:space="preserve"> and funding and delivery of projects. </w:t>
      </w:r>
    </w:p>
    <w:p w:rsidR="00B16905" w:rsidRDefault="00B16905" w:rsidP="005135E7">
      <w:pPr>
        <w:pStyle w:val="ListBullet"/>
        <w:rPr>
          <w:lang w:eastAsia="ar-SA"/>
        </w:rPr>
      </w:pPr>
      <w:r>
        <w:t>More innovative approaches to f</w:t>
      </w:r>
      <w:r>
        <w:rPr>
          <w:lang w:eastAsia="ar-SA"/>
        </w:rPr>
        <w:t xml:space="preserve">unding and financing of interchange and strategic local connectivity enhancements, for example flexibilities to allow local authorities to borrow based, in part based on future tax/rates receipts and land values, to invest in </w:t>
      </w:r>
      <w:r w:rsidR="00804CCE">
        <w:rPr>
          <w:lang w:eastAsia="ar-SA"/>
        </w:rPr>
        <w:t xml:space="preserve">facilitating </w:t>
      </w:r>
      <w:r>
        <w:rPr>
          <w:lang w:eastAsia="ar-SA"/>
        </w:rPr>
        <w:t>infrastructure.</w:t>
      </w:r>
    </w:p>
    <w:p w:rsidR="00B16905" w:rsidRDefault="00B16905" w:rsidP="00B16905">
      <w:pPr>
        <w:pStyle w:val="ListBullet"/>
      </w:pPr>
      <w:r>
        <w:t xml:space="preserve">For central government to </w:t>
      </w:r>
      <w:r w:rsidR="00804CCE">
        <w:t xml:space="preserve">work with local partners to ensure </w:t>
      </w:r>
      <w:r>
        <w:t xml:space="preserve">high growth areas </w:t>
      </w:r>
      <w:r w:rsidR="00804CCE">
        <w:t xml:space="preserve">have </w:t>
      </w:r>
      <w:r>
        <w:t xml:space="preserve">sufficient growth in </w:t>
      </w:r>
      <w:r w:rsidR="00184700">
        <w:t xml:space="preserve">quality </w:t>
      </w:r>
      <w:r>
        <w:t>local, public services, specifically larger facilities such as hospitals</w:t>
      </w:r>
      <w:r w:rsidR="00184700">
        <w:t xml:space="preserve"> and further education</w:t>
      </w:r>
      <w:r>
        <w:t>.</w:t>
      </w:r>
    </w:p>
    <w:p w:rsidR="0065299B" w:rsidRDefault="0065299B" w:rsidP="0065299B">
      <w:pPr>
        <w:pStyle w:val="ListBullet"/>
        <w:rPr>
          <w:lang w:eastAsia="ar-SA"/>
        </w:rPr>
      </w:pPr>
      <w:r>
        <w:rPr>
          <w:lang w:eastAsia="ar-SA"/>
        </w:rPr>
        <w:t>Investment in digital connectivity.</w:t>
      </w:r>
    </w:p>
    <w:p w:rsidR="000477FA" w:rsidRDefault="009D75AD" w:rsidP="005135E7">
      <w:pPr>
        <w:pStyle w:val="ListBullet"/>
        <w:rPr>
          <w:lang w:eastAsia="ar-SA"/>
        </w:rPr>
      </w:pPr>
      <w:r>
        <w:rPr>
          <w:lang w:eastAsia="ar-SA"/>
        </w:rPr>
        <w:t>F</w:t>
      </w:r>
      <w:r w:rsidR="000477FA">
        <w:rPr>
          <w:lang w:eastAsia="ar-SA"/>
        </w:rPr>
        <w:t>orward-funding</w:t>
      </w:r>
      <w:r>
        <w:rPr>
          <w:lang w:eastAsia="ar-SA"/>
        </w:rPr>
        <w:t xml:space="preserve">/investment in </w:t>
      </w:r>
      <w:r w:rsidR="00D439BB" w:rsidRPr="000477FA">
        <w:rPr>
          <w:lang w:eastAsia="ar-SA"/>
        </w:rPr>
        <w:t>utilities</w:t>
      </w:r>
      <w:r w:rsidR="000477FA">
        <w:rPr>
          <w:lang w:eastAsia="ar-SA"/>
        </w:rPr>
        <w:t xml:space="preserve"> </w:t>
      </w:r>
      <w:r>
        <w:rPr>
          <w:lang w:eastAsia="ar-SA"/>
        </w:rPr>
        <w:t xml:space="preserve">for </w:t>
      </w:r>
      <w:r w:rsidR="000477FA">
        <w:rPr>
          <w:lang w:eastAsia="ar-SA"/>
        </w:rPr>
        <w:t xml:space="preserve">new </w:t>
      </w:r>
      <w:r>
        <w:rPr>
          <w:lang w:eastAsia="ar-SA"/>
        </w:rPr>
        <w:t xml:space="preserve">employment and housing </w:t>
      </w:r>
      <w:r w:rsidR="000477FA">
        <w:rPr>
          <w:lang w:eastAsia="ar-SA"/>
        </w:rPr>
        <w:t>developments</w:t>
      </w:r>
      <w:r w:rsidR="00881099">
        <w:rPr>
          <w:lang w:eastAsia="ar-SA"/>
        </w:rPr>
        <w:t xml:space="preserve"> to address commercial viability issues to attract business investment</w:t>
      </w:r>
      <w:r>
        <w:rPr>
          <w:lang w:eastAsia="ar-SA"/>
        </w:rPr>
        <w:t xml:space="preserve">, make commerce easier, and attract a wider range of housing across all tenures that </w:t>
      </w:r>
      <w:proofErr w:type="gramStart"/>
      <w:r>
        <w:rPr>
          <w:lang w:eastAsia="ar-SA"/>
        </w:rPr>
        <w:t>is</w:t>
      </w:r>
      <w:proofErr w:type="gramEnd"/>
      <w:r>
        <w:rPr>
          <w:lang w:eastAsia="ar-SA"/>
        </w:rPr>
        <w:t xml:space="preserve"> affordable</w:t>
      </w:r>
      <w:r w:rsidR="000477FA">
        <w:rPr>
          <w:lang w:eastAsia="ar-SA"/>
        </w:rPr>
        <w:t>.</w:t>
      </w:r>
    </w:p>
    <w:p w:rsidR="002C41D3" w:rsidRPr="002C41D3" w:rsidRDefault="00EE44B0" w:rsidP="002C41D3">
      <w:pPr>
        <w:pStyle w:val="ListBullet"/>
      </w:pPr>
      <w:r>
        <w:rPr>
          <w:lang w:eastAsia="ar-SA"/>
        </w:rPr>
        <w:t>Acceleration of the planning process, particularly the t</w:t>
      </w:r>
      <w:r>
        <w:t xml:space="preserve">ime taken to </w:t>
      </w:r>
      <w:r w:rsidR="00184700">
        <w:t xml:space="preserve">take </w:t>
      </w:r>
      <w:r w:rsidR="002C2318">
        <w:t>Local Plans</w:t>
      </w:r>
      <w:r w:rsidR="00804CCE">
        <w:t>,</w:t>
      </w:r>
      <w:r w:rsidR="00402A13">
        <w:t xml:space="preserve"> Transport and Works Act Orders,</w:t>
      </w:r>
      <w:r w:rsidR="00804CCE">
        <w:t xml:space="preserve"> Development Consent Orders</w:t>
      </w:r>
      <w:r w:rsidR="002C2318">
        <w:t xml:space="preserve"> and </w:t>
      </w:r>
      <w:r>
        <w:t>through Public Inquiry with the Planning Inspectorate</w:t>
      </w:r>
      <w:r w:rsidR="00804CCE">
        <w:t xml:space="preserve"> and Ministerial decision making</w:t>
      </w:r>
      <w:r w:rsidR="00184700">
        <w:t>, to deliver greater certainty</w:t>
      </w:r>
      <w:r>
        <w:t>.</w:t>
      </w:r>
    </w:p>
    <w:p w:rsidR="000427A1" w:rsidRPr="002C41D3" w:rsidRDefault="004362EE" w:rsidP="002C41D3">
      <w:pPr>
        <w:pStyle w:val="Heading3"/>
        <w:rPr>
          <w:rFonts w:eastAsiaTheme="minorHAnsi"/>
        </w:rPr>
      </w:pPr>
      <w:r w:rsidRPr="002C41D3">
        <w:rPr>
          <w:rFonts w:eastAsia="Times New Roman"/>
          <w:lang w:eastAsia="ar-SA"/>
        </w:rPr>
        <w:t>Q</w:t>
      </w:r>
      <w:r w:rsidR="000427A1" w:rsidRPr="002C41D3">
        <w:rPr>
          <w:rFonts w:eastAsia="Times New Roman"/>
          <w:lang w:eastAsia="ar-SA"/>
        </w:rPr>
        <w:t>1. Many places across the Cambridge – Milton Keynes – Oxford corridor have very successful local economies and are perceived as highly desirable places to live:</w:t>
      </w:r>
    </w:p>
    <w:p w:rsidR="000427A1" w:rsidRPr="004362EE" w:rsidRDefault="003E347D" w:rsidP="003E347D">
      <w:pPr>
        <w:pStyle w:val="Heading3"/>
        <w:rPr>
          <w:lang w:eastAsia="ar-SA"/>
        </w:rPr>
      </w:pPr>
      <w:r>
        <w:rPr>
          <w:lang w:eastAsia="ar-SA"/>
        </w:rPr>
        <w:t>W</w:t>
      </w:r>
      <w:r w:rsidR="000427A1" w:rsidRPr="004362EE">
        <w:rPr>
          <w:lang w:eastAsia="ar-SA"/>
        </w:rPr>
        <w:t>hat have been the key drivers of that success?</w:t>
      </w:r>
    </w:p>
    <w:p w:rsidR="00881099" w:rsidRDefault="00D63FD5" w:rsidP="002C41D3">
      <w:pPr>
        <w:rPr>
          <w:lang w:eastAsia="ar-SA"/>
        </w:rPr>
      </w:pPr>
      <w:r>
        <w:rPr>
          <w:lang w:eastAsia="ar-SA"/>
        </w:rPr>
        <w:t>The key drivers of success in generating a high-</w:t>
      </w:r>
      <w:r w:rsidR="00881099">
        <w:rPr>
          <w:lang w:eastAsia="ar-SA"/>
        </w:rPr>
        <w:t xml:space="preserve">value economy </w:t>
      </w:r>
      <w:r>
        <w:rPr>
          <w:lang w:eastAsia="ar-SA"/>
        </w:rPr>
        <w:t xml:space="preserve">with high </w:t>
      </w:r>
      <w:r w:rsidR="00881099">
        <w:rPr>
          <w:lang w:eastAsia="ar-SA"/>
        </w:rPr>
        <w:t xml:space="preserve">productivity and employment </w:t>
      </w:r>
      <w:r>
        <w:rPr>
          <w:lang w:eastAsia="ar-SA"/>
        </w:rPr>
        <w:t xml:space="preserve">levels stem from the following five </w:t>
      </w:r>
      <w:r w:rsidR="00146932">
        <w:rPr>
          <w:lang w:eastAsia="ar-SA"/>
        </w:rPr>
        <w:t xml:space="preserve">synergistic </w:t>
      </w:r>
      <w:r>
        <w:rPr>
          <w:lang w:eastAsia="ar-SA"/>
        </w:rPr>
        <w:t>factors:</w:t>
      </w:r>
    </w:p>
    <w:p w:rsidR="00C54B3A" w:rsidRDefault="006E1F81" w:rsidP="00D63FD5">
      <w:pPr>
        <w:pStyle w:val="ListBullet"/>
        <w:rPr>
          <w:lang w:eastAsia="ar-SA"/>
        </w:rPr>
      </w:pPr>
      <w:r w:rsidRPr="006C3291">
        <w:rPr>
          <w:b/>
          <w:lang w:eastAsia="ar-SA"/>
        </w:rPr>
        <w:t>Innovation and knowledge-led business</w:t>
      </w:r>
      <w:r w:rsidR="00827522" w:rsidRPr="006C3291">
        <w:rPr>
          <w:b/>
          <w:lang w:eastAsia="ar-SA"/>
        </w:rPr>
        <w:t xml:space="preserve">es in </w:t>
      </w:r>
      <w:r w:rsidRPr="006C3291">
        <w:rPr>
          <w:b/>
          <w:lang w:eastAsia="ar-SA"/>
        </w:rPr>
        <w:t>high</w:t>
      </w:r>
      <w:r w:rsidR="00D63FD5" w:rsidRPr="006C3291">
        <w:rPr>
          <w:b/>
          <w:lang w:eastAsia="ar-SA"/>
        </w:rPr>
        <w:t xml:space="preserve">er </w:t>
      </w:r>
      <w:r w:rsidRPr="006C3291">
        <w:rPr>
          <w:b/>
          <w:lang w:eastAsia="ar-SA"/>
        </w:rPr>
        <w:t>productiv</w:t>
      </w:r>
      <w:r w:rsidR="00D63FD5" w:rsidRPr="006C3291">
        <w:rPr>
          <w:b/>
          <w:lang w:eastAsia="ar-SA"/>
        </w:rPr>
        <w:t>ity</w:t>
      </w:r>
      <w:r w:rsidR="0066688B" w:rsidRPr="006C3291">
        <w:rPr>
          <w:b/>
          <w:lang w:eastAsia="ar-SA"/>
        </w:rPr>
        <w:t xml:space="preserve"> </w:t>
      </w:r>
      <w:r w:rsidR="00D63FD5" w:rsidRPr="006C3291">
        <w:rPr>
          <w:b/>
          <w:lang w:eastAsia="ar-SA"/>
        </w:rPr>
        <w:t>sectors:</w:t>
      </w:r>
      <w:r w:rsidR="00D63FD5">
        <w:rPr>
          <w:lang w:eastAsia="ar-SA"/>
        </w:rPr>
        <w:t xml:space="preserve"> 11.1% of the </w:t>
      </w:r>
      <w:proofErr w:type="gramStart"/>
      <w:r w:rsidR="00D63FD5">
        <w:rPr>
          <w:lang w:eastAsia="ar-SA"/>
        </w:rPr>
        <w:t>workforce</w:t>
      </w:r>
      <w:r w:rsidR="00814A96">
        <w:rPr>
          <w:lang w:eastAsia="ar-SA"/>
        </w:rPr>
        <w:t xml:space="preserve"> within the six Local Enterprise Partnership area</w:t>
      </w:r>
      <w:r w:rsidR="005B4C9D">
        <w:rPr>
          <w:lang w:eastAsia="ar-SA"/>
        </w:rPr>
        <w:t>s</w:t>
      </w:r>
      <w:r w:rsidR="00814A96">
        <w:rPr>
          <w:lang w:eastAsia="ar-SA"/>
        </w:rPr>
        <w:t xml:space="preserve"> along the corridor </w:t>
      </w:r>
      <w:r w:rsidR="00D63FD5">
        <w:rPr>
          <w:lang w:eastAsia="ar-SA"/>
        </w:rPr>
        <w:t>work</w:t>
      </w:r>
      <w:proofErr w:type="gramEnd"/>
      <w:r w:rsidR="00D63FD5">
        <w:rPr>
          <w:lang w:eastAsia="ar-SA"/>
        </w:rPr>
        <w:t xml:space="preserve"> in ‘knowledge jobs’</w:t>
      </w:r>
      <w:r w:rsidR="00BF2A17">
        <w:rPr>
          <w:rStyle w:val="EndnoteReference"/>
          <w:lang w:eastAsia="ar-SA"/>
        </w:rPr>
        <w:endnoteReference w:id="5"/>
      </w:r>
      <w:r w:rsidR="00146932">
        <w:rPr>
          <w:lang w:eastAsia="ar-SA"/>
        </w:rPr>
        <w:t>.</w:t>
      </w:r>
      <w:r w:rsidR="00D63FD5">
        <w:rPr>
          <w:lang w:eastAsia="ar-SA"/>
        </w:rPr>
        <w:t xml:space="preserve"> </w:t>
      </w:r>
      <w:r w:rsidR="00146932">
        <w:rPr>
          <w:lang w:eastAsia="ar-SA"/>
        </w:rPr>
        <w:t xml:space="preserve">This is </w:t>
      </w:r>
      <w:r w:rsidR="002C1E2A">
        <w:rPr>
          <w:lang w:eastAsia="ar-SA"/>
        </w:rPr>
        <w:t xml:space="preserve">above the national average of </w:t>
      </w:r>
      <w:r w:rsidR="0066688B">
        <w:rPr>
          <w:lang w:eastAsia="ar-SA"/>
        </w:rPr>
        <w:t>9.6% for the United Kingdom</w:t>
      </w:r>
      <w:r w:rsidR="00D63FD5">
        <w:rPr>
          <w:lang w:eastAsia="ar-SA"/>
        </w:rPr>
        <w:t xml:space="preserve">. </w:t>
      </w:r>
      <w:r w:rsidR="00814A96">
        <w:rPr>
          <w:lang w:eastAsia="ar-SA"/>
        </w:rPr>
        <w:t xml:space="preserve">This rises </w:t>
      </w:r>
      <w:r w:rsidR="00691603">
        <w:rPr>
          <w:lang w:eastAsia="ar-SA"/>
        </w:rPr>
        <w:t>above 14</w:t>
      </w:r>
      <w:r w:rsidR="00146932">
        <w:rPr>
          <w:lang w:eastAsia="ar-SA"/>
        </w:rPr>
        <w:t>.0</w:t>
      </w:r>
      <w:r w:rsidR="00FF5B90">
        <w:rPr>
          <w:lang w:eastAsia="ar-SA"/>
        </w:rPr>
        <w:t xml:space="preserve">% for </w:t>
      </w:r>
      <w:r w:rsidR="00691603">
        <w:rPr>
          <w:lang w:eastAsia="ar-SA"/>
        </w:rPr>
        <w:t xml:space="preserve">seven </w:t>
      </w:r>
      <w:r w:rsidR="00FF5B90">
        <w:rPr>
          <w:lang w:eastAsia="ar-SA"/>
        </w:rPr>
        <w:t xml:space="preserve">districts </w:t>
      </w:r>
      <w:r w:rsidR="00691603">
        <w:rPr>
          <w:lang w:eastAsia="ar-SA"/>
        </w:rPr>
        <w:t>– South Cambridgeshire 29.6%, Vale of the White Horse 22.2%, South Oxfordshire 21.8%, Cambridge 18.9%, Stevenage 17.0%, Wycombe 14.8%, and Daventry 14.0%</w:t>
      </w:r>
      <w:r w:rsidR="002C1E2A">
        <w:rPr>
          <w:lang w:eastAsia="ar-SA"/>
        </w:rPr>
        <w:t xml:space="preserve"> - a polycentric network along the corridor</w:t>
      </w:r>
      <w:r w:rsidR="00691603">
        <w:rPr>
          <w:rStyle w:val="EndnoteReference"/>
          <w:lang w:eastAsia="ar-SA"/>
        </w:rPr>
        <w:endnoteReference w:id="6"/>
      </w:r>
      <w:r w:rsidR="00FF5B90">
        <w:rPr>
          <w:lang w:eastAsia="ar-SA"/>
        </w:rPr>
        <w:t xml:space="preserve">. </w:t>
      </w:r>
    </w:p>
    <w:p w:rsidR="00146932" w:rsidRDefault="00E051EB" w:rsidP="00C54B3A">
      <w:pPr>
        <w:pStyle w:val="ListBullet"/>
        <w:numPr>
          <w:ilvl w:val="0"/>
          <w:numId w:val="0"/>
        </w:numPr>
        <w:ind w:left="397"/>
        <w:rPr>
          <w:lang w:eastAsia="ar-SA"/>
        </w:rPr>
      </w:pPr>
      <w:r>
        <w:rPr>
          <w:lang w:eastAsia="ar-SA"/>
        </w:rPr>
        <w:t xml:space="preserve">The corridor has </w:t>
      </w:r>
      <w:r w:rsidR="00146932">
        <w:rPr>
          <w:lang w:eastAsia="ar-SA"/>
        </w:rPr>
        <w:t xml:space="preserve">nationally </w:t>
      </w:r>
      <w:r>
        <w:rPr>
          <w:lang w:eastAsia="ar-SA"/>
        </w:rPr>
        <w:t xml:space="preserve">significant specialisms in: </w:t>
      </w:r>
      <w:r w:rsidR="00827522" w:rsidRPr="0010479C">
        <w:rPr>
          <w:lang w:eastAsia="ar-SA"/>
        </w:rPr>
        <w:t xml:space="preserve">advanced </w:t>
      </w:r>
      <w:r w:rsidR="0028327E" w:rsidRPr="0010479C">
        <w:rPr>
          <w:lang w:eastAsia="ar-SA"/>
        </w:rPr>
        <w:t xml:space="preserve">manufacture of computer, </w:t>
      </w:r>
      <w:r w:rsidR="00827522" w:rsidRPr="0010479C">
        <w:rPr>
          <w:lang w:eastAsia="ar-SA"/>
        </w:rPr>
        <w:t>electronic</w:t>
      </w:r>
      <w:r w:rsidR="0028327E" w:rsidRPr="0010479C">
        <w:rPr>
          <w:lang w:eastAsia="ar-SA"/>
        </w:rPr>
        <w:t xml:space="preserve"> and optical products; computer programming, consultancy and related activities; architectural and engineering activities, including technical testing and analysis; and scientific research and development</w:t>
      </w:r>
      <w:r w:rsidR="00D63FD5">
        <w:rPr>
          <w:lang w:eastAsia="ar-SA"/>
        </w:rPr>
        <w:t>, including life sciences and pharmaceuticals</w:t>
      </w:r>
      <w:r w:rsidR="0028327E" w:rsidRPr="0010479C">
        <w:rPr>
          <w:lang w:eastAsia="ar-SA"/>
        </w:rPr>
        <w:t xml:space="preserve">. </w:t>
      </w:r>
    </w:p>
    <w:p w:rsidR="006E1F81" w:rsidRDefault="00E051EB" w:rsidP="00C54B3A">
      <w:pPr>
        <w:pStyle w:val="ListBullet"/>
        <w:numPr>
          <w:ilvl w:val="0"/>
          <w:numId w:val="0"/>
        </w:numPr>
        <w:ind w:left="397"/>
        <w:rPr>
          <w:lang w:eastAsia="ar-SA"/>
        </w:rPr>
      </w:pPr>
      <w:r>
        <w:rPr>
          <w:lang w:eastAsia="ar-SA"/>
        </w:rPr>
        <w:t xml:space="preserve">In addition to high productivity, knowledge-intensive </w:t>
      </w:r>
      <w:r w:rsidR="002C1E2A">
        <w:rPr>
          <w:lang w:eastAsia="ar-SA"/>
        </w:rPr>
        <w:t>jobs</w:t>
      </w:r>
      <w:r>
        <w:rPr>
          <w:lang w:eastAsia="ar-SA"/>
        </w:rPr>
        <w:t xml:space="preserve">, there are </w:t>
      </w:r>
      <w:r w:rsidR="00146932">
        <w:rPr>
          <w:lang w:eastAsia="ar-SA"/>
        </w:rPr>
        <w:t xml:space="preserve">also </w:t>
      </w:r>
      <w:r>
        <w:rPr>
          <w:lang w:eastAsia="ar-SA"/>
        </w:rPr>
        <w:t xml:space="preserve">typically very high </w:t>
      </w:r>
      <w:r w:rsidR="00146932">
        <w:rPr>
          <w:lang w:eastAsia="ar-SA"/>
        </w:rPr>
        <w:t xml:space="preserve">total </w:t>
      </w:r>
      <w:r>
        <w:rPr>
          <w:lang w:eastAsia="ar-SA"/>
        </w:rPr>
        <w:t xml:space="preserve">employment levels along the corridor. It is </w:t>
      </w:r>
      <w:r w:rsidR="00146932">
        <w:rPr>
          <w:lang w:eastAsia="ar-SA"/>
        </w:rPr>
        <w:t xml:space="preserve">jobs in other </w:t>
      </w:r>
      <w:r>
        <w:rPr>
          <w:lang w:eastAsia="ar-SA"/>
        </w:rPr>
        <w:t xml:space="preserve">sectors that support </w:t>
      </w:r>
      <w:r w:rsidR="002C1E2A">
        <w:rPr>
          <w:lang w:eastAsia="ar-SA"/>
        </w:rPr>
        <w:t xml:space="preserve">the high-value sectors and local communities. It is </w:t>
      </w:r>
      <w:r w:rsidR="00146932">
        <w:rPr>
          <w:lang w:eastAsia="ar-SA"/>
        </w:rPr>
        <w:t xml:space="preserve">the </w:t>
      </w:r>
      <w:r w:rsidR="002C1E2A">
        <w:rPr>
          <w:lang w:eastAsia="ar-SA"/>
        </w:rPr>
        <w:t>combination of high productivity jobs and very high employment that result in the high economic value of the corridor.</w:t>
      </w:r>
      <w:r w:rsidR="002C1E2A" w:rsidRPr="0010479C">
        <w:rPr>
          <w:lang w:eastAsia="ar-SA"/>
        </w:rPr>
        <w:t xml:space="preserve"> </w:t>
      </w:r>
    </w:p>
    <w:p w:rsidR="006E1F81" w:rsidRDefault="006E1F81" w:rsidP="00E051EB">
      <w:pPr>
        <w:pStyle w:val="ListBullet"/>
        <w:rPr>
          <w:lang w:eastAsia="ar-SA"/>
        </w:rPr>
      </w:pPr>
      <w:r w:rsidRPr="006C3291">
        <w:rPr>
          <w:b/>
          <w:lang w:eastAsia="ar-SA"/>
        </w:rPr>
        <w:t>Research institutes and other key economic assets</w:t>
      </w:r>
      <w:r w:rsidR="002C1E2A" w:rsidRPr="006C3291">
        <w:rPr>
          <w:b/>
          <w:lang w:eastAsia="ar-SA"/>
        </w:rPr>
        <w:t>:</w:t>
      </w:r>
      <w:r w:rsidR="002C1E2A">
        <w:rPr>
          <w:lang w:eastAsia="ar-SA"/>
        </w:rPr>
        <w:t xml:space="preserve"> The corridor had ten universities</w:t>
      </w:r>
      <w:r w:rsidR="00466CA8">
        <w:rPr>
          <w:lang w:eastAsia="ar-SA"/>
        </w:rPr>
        <w:t xml:space="preserve"> (see Table 1)</w:t>
      </w:r>
      <w:r w:rsidR="002C1E2A">
        <w:rPr>
          <w:lang w:eastAsia="ar-SA"/>
        </w:rPr>
        <w:t xml:space="preserve">, along with the Open University </w:t>
      </w:r>
      <w:r w:rsidR="00146932">
        <w:rPr>
          <w:lang w:eastAsia="ar-SA"/>
        </w:rPr>
        <w:t xml:space="preserve">which has its </w:t>
      </w:r>
      <w:r w:rsidR="002C1E2A">
        <w:rPr>
          <w:lang w:eastAsia="ar-SA"/>
        </w:rPr>
        <w:t>headquarter</w:t>
      </w:r>
      <w:r w:rsidR="00146932">
        <w:rPr>
          <w:lang w:eastAsia="ar-SA"/>
        </w:rPr>
        <w:t>s</w:t>
      </w:r>
      <w:r w:rsidR="002C1E2A">
        <w:rPr>
          <w:lang w:eastAsia="ar-SA"/>
        </w:rPr>
        <w:t xml:space="preserve"> in Milton Keynes.</w:t>
      </w:r>
      <w:r w:rsidR="004707F6" w:rsidRPr="0010479C">
        <w:rPr>
          <w:lang w:eastAsia="ar-SA"/>
        </w:rPr>
        <w:t xml:space="preserve"> </w:t>
      </w:r>
      <w:r w:rsidR="00146932">
        <w:rPr>
          <w:lang w:eastAsia="ar-SA"/>
        </w:rPr>
        <w:t xml:space="preserve">It has </w:t>
      </w:r>
      <w:r w:rsidR="002C1E2A">
        <w:rPr>
          <w:lang w:eastAsia="ar-SA"/>
        </w:rPr>
        <w:t>two world</w:t>
      </w:r>
      <w:r w:rsidR="00146932">
        <w:rPr>
          <w:lang w:eastAsia="ar-SA"/>
        </w:rPr>
        <w:t>-</w:t>
      </w:r>
      <w:r w:rsidR="002C1E2A">
        <w:rPr>
          <w:lang w:eastAsia="ar-SA"/>
        </w:rPr>
        <w:t>leading universities for both teaching and research – University of Cambridge and University of Oxford</w:t>
      </w:r>
      <w:r w:rsidR="00466CA8">
        <w:rPr>
          <w:lang w:eastAsia="ar-SA"/>
        </w:rPr>
        <w:t xml:space="preserve"> – consistently ranked in the top five in the world</w:t>
      </w:r>
      <w:r w:rsidR="00466CA8">
        <w:rPr>
          <w:rStyle w:val="EndnoteReference"/>
          <w:lang w:eastAsia="ar-SA"/>
        </w:rPr>
        <w:endnoteReference w:id="7"/>
      </w:r>
      <w:r w:rsidR="00C16A7B">
        <w:rPr>
          <w:lang w:eastAsia="ar-SA"/>
        </w:rPr>
        <w:t xml:space="preserve"> and Cranfield University one the leading post-graduate centre for engineering studies in the UK.</w:t>
      </w:r>
      <w:r w:rsidR="00146932">
        <w:rPr>
          <w:lang w:eastAsia="ar-SA"/>
        </w:rPr>
        <w:t xml:space="preserve"> The corridor is also in close </w:t>
      </w:r>
      <w:r w:rsidR="00466CA8">
        <w:rPr>
          <w:lang w:eastAsia="ar-SA"/>
        </w:rPr>
        <w:t>proximity</w:t>
      </w:r>
      <w:r w:rsidR="00C16A7B">
        <w:rPr>
          <w:lang w:eastAsia="ar-SA"/>
        </w:rPr>
        <w:t xml:space="preserve"> with good connectivity</w:t>
      </w:r>
      <w:r w:rsidR="00466CA8">
        <w:rPr>
          <w:lang w:eastAsia="ar-SA"/>
        </w:rPr>
        <w:t xml:space="preserve"> to other world-leading universities</w:t>
      </w:r>
      <w:r w:rsidR="00C16A7B">
        <w:rPr>
          <w:lang w:eastAsia="ar-SA"/>
        </w:rPr>
        <w:t xml:space="preserve"> and institutes</w:t>
      </w:r>
      <w:r w:rsidR="00466CA8">
        <w:rPr>
          <w:lang w:eastAsia="ar-SA"/>
        </w:rPr>
        <w:t xml:space="preserve"> in London</w:t>
      </w:r>
      <w:r w:rsidR="002C1E2A">
        <w:rPr>
          <w:lang w:eastAsia="ar-SA"/>
        </w:rPr>
        <w:t xml:space="preserve">. </w:t>
      </w:r>
      <w:r w:rsidR="00466CA8">
        <w:rPr>
          <w:lang w:eastAsia="ar-SA"/>
        </w:rPr>
        <w:t xml:space="preserve">The corridor’s universities </w:t>
      </w:r>
      <w:r w:rsidR="00C16A7B">
        <w:rPr>
          <w:lang w:eastAsia="ar-SA"/>
        </w:rPr>
        <w:t xml:space="preserve">in particular Cambridge, </w:t>
      </w:r>
      <w:r w:rsidR="00466CA8">
        <w:rPr>
          <w:lang w:eastAsia="ar-SA"/>
        </w:rPr>
        <w:t>are successful in spinning-out and commercialising many research-led innovations, demonstrated by the high levels of patent</w:t>
      </w:r>
      <w:r w:rsidR="000D70F5">
        <w:rPr>
          <w:lang w:eastAsia="ar-SA"/>
        </w:rPr>
        <w:t xml:space="preserve"> </w:t>
      </w:r>
      <w:r w:rsidR="00AD10FB">
        <w:rPr>
          <w:lang w:eastAsia="ar-SA"/>
        </w:rPr>
        <w:t>per 100,000 of population – four of the corridors cities appear in the top ten of UK cities – Cambridge 101.9, Peterborough 10.5, Oxford 8.9, and Milton Keynes 8.5</w:t>
      </w:r>
      <w:r w:rsidR="00466CA8">
        <w:rPr>
          <w:rStyle w:val="EndnoteReference"/>
          <w:lang w:eastAsia="ar-SA"/>
        </w:rPr>
        <w:endnoteReference w:id="8"/>
      </w:r>
      <w:r w:rsidR="00466CA8">
        <w:rPr>
          <w:lang w:eastAsia="ar-SA"/>
        </w:rPr>
        <w:t>.</w:t>
      </w:r>
    </w:p>
    <w:p w:rsidR="00480F5F" w:rsidRDefault="00466CA8" w:rsidP="00466CA8">
      <w:pPr>
        <w:pStyle w:val="Caption"/>
        <w:tabs>
          <w:tab w:val="left" w:pos="426"/>
        </w:tabs>
        <w:rPr>
          <w:lang w:eastAsia="ar-SA"/>
        </w:rPr>
      </w:pPr>
      <w:r>
        <w:rPr>
          <w:lang w:eastAsia="ar-SA"/>
        </w:rPr>
        <w:tab/>
      </w:r>
      <w:r w:rsidR="00480F5F">
        <w:rPr>
          <w:lang w:eastAsia="ar-SA"/>
        </w:rPr>
        <w:t xml:space="preserve">Table </w:t>
      </w:r>
      <w:r w:rsidR="00480F5F">
        <w:rPr>
          <w:lang w:eastAsia="ar-SA"/>
        </w:rPr>
        <w:fldChar w:fldCharType="begin"/>
      </w:r>
      <w:r w:rsidR="00480F5F">
        <w:rPr>
          <w:lang w:eastAsia="ar-SA"/>
        </w:rPr>
        <w:instrText xml:space="preserve"> SEQ Table \* ARABIC \* MERGEFORMAT </w:instrText>
      </w:r>
      <w:r w:rsidR="00480F5F">
        <w:rPr>
          <w:lang w:eastAsia="ar-SA"/>
        </w:rPr>
        <w:fldChar w:fldCharType="separate"/>
      </w:r>
      <w:r w:rsidR="004B6CCD">
        <w:rPr>
          <w:noProof/>
          <w:lang w:eastAsia="ar-SA"/>
        </w:rPr>
        <w:t>1</w:t>
      </w:r>
      <w:r w:rsidR="00480F5F">
        <w:rPr>
          <w:lang w:eastAsia="ar-SA"/>
        </w:rPr>
        <w:fldChar w:fldCharType="end"/>
      </w:r>
      <w:r w:rsidR="00480F5F">
        <w:rPr>
          <w:lang w:eastAsia="ar-SA"/>
        </w:rPr>
        <w:t xml:space="preserve">: Universities in the six </w:t>
      </w:r>
      <w:r w:rsidR="00402A13">
        <w:rPr>
          <w:lang w:eastAsia="ar-SA"/>
        </w:rPr>
        <w:t xml:space="preserve">Local Enterprise Partnership </w:t>
      </w:r>
      <w:proofErr w:type="gramStart"/>
      <w:r w:rsidR="00402A13">
        <w:rPr>
          <w:lang w:eastAsia="ar-SA"/>
        </w:rPr>
        <w:t>area</w:t>
      </w:r>
      <w:proofErr w:type="gramEnd"/>
    </w:p>
    <w:tbl>
      <w:tblPr>
        <w:tblStyle w:val="SDGTableDefault"/>
        <w:tblW w:w="4711" w:type="pct"/>
        <w:tblInd w:w="534" w:type="dxa"/>
        <w:tblLook w:val="04A0" w:firstRow="1" w:lastRow="0" w:firstColumn="1" w:lastColumn="0" w:noHBand="0" w:noVBand="1"/>
      </w:tblPr>
      <w:tblGrid>
        <w:gridCol w:w="3441"/>
        <w:gridCol w:w="2797"/>
        <w:gridCol w:w="1372"/>
        <w:gridCol w:w="1099"/>
      </w:tblGrid>
      <w:tr w:rsidR="006A036A" w:rsidRPr="00297883" w:rsidTr="000D70F5">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52" w:type="pct"/>
            <w:hideMark/>
          </w:tcPr>
          <w:p w:rsidR="003922F7" w:rsidRPr="00297883" w:rsidRDefault="003922F7" w:rsidP="00297883">
            <w:pPr>
              <w:rPr>
                <w:color w:val="FFFFFF" w:themeColor="background1"/>
              </w:rPr>
            </w:pPr>
            <w:r w:rsidRPr="00297883">
              <w:rPr>
                <w:color w:val="FFFFFF" w:themeColor="background1"/>
              </w:rPr>
              <w:t>Local Enterprise Partnership</w:t>
            </w:r>
          </w:p>
        </w:tc>
        <w:tc>
          <w:tcPr>
            <w:tcW w:w="1647" w:type="pct"/>
            <w:noWrap/>
            <w:hideMark/>
          </w:tcPr>
          <w:p w:rsidR="003922F7" w:rsidRPr="00297883" w:rsidRDefault="003922F7" w:rsidP="0029788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97883">
              <w:rPr>
                <w:color w:val="FFFFFF" w:themeColor="background1"/>
              </w:rPr>
              <w:t>Universities</w:t>
            </w:r>
          </w:p>
        </w:tc>
        <w:tc>
          <w:tcPr>
            <w:tcW w:w="829" w:type="pct"/>
            <w:noWrap/>
            <w:hideMark/>
          </w:tcPr>
          <w:p w:rsidR="003922F7" w:rsidRPr="00297883" w:rsidRDefault="003922F7" w:rsidP="0029788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97883">
              <w:rPr>
                <w:color w:val="FFFFFF" w:themeColor="background1"/>
              </w:rPr>
              <w:t>World Ranking</w:t>
            </w:r>
          </w:p>
        </w:tc>
        <w:tc>
          <w:tcPr>
            <w:tcW w:w="672" w:type="pct"/>
            <w:noWrap/>
            <w:hideMark/>
          </w:tcPr>
          <w:p w:rsidR="003922F7" w:rsidRPr="00297883" w:rsidRDefault="003922F7" w:rsidP="0029788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97883">
              <w:rPr>
                <w:color w:val="FFFFFF" w:themeColor="background1"/>
              </w:rPr>
              <w:t>UK Ranking</w:t>
            </w:r>
          </w:p>
        </w:tc>
      </w:tr>
      <w:tr w:rsidR="006A036A" w:rsidRPr="00297883" w:rsidTr="000D70F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52" w:type="pct"/>
            <w:noWrap/>
            <w:hideMark/>
          </w:tcPr>
          <w:p w:rsidR="003922F7" w:rsidRPr="00297883" w:rsidRDefault="003922F7" w:rsidP="000D70F5">
            <w:pPr>
              <w:spacing w:before="0" w:after="0"/>
            </w:pPr>
            <w:r w:rsidRPr="00297883">
              <w:t>Greater Cambridge &amp; Greater Peterborough</w:t>
            </w:r>
          </w:p>
        </w:tc>
        <w:tc>
          <w:tcPr>
            <w:tcW w:w="1647" w:type="pct"/>
            <w:noWrap/>
            <w:hideMark/>
          </w:tcPr>
          <w:p w:rsidR="003922F7" w:rsidRPr="00297883" w:rsidRDefault="003922F7" w:rsidP="000D70F5">
            <w:pPr>
              <w:spacing w:before="0" w:after="0"/>
              <w:cnfStyle w:val="000000100000" w:firstRow="0" w:lastRow="0" w:firstColumn="0" w:lastColumn="0" w:oddVBand="0" w:evenVBand="0" w:oddHBand="1" w:evenHBand="0" w:firstRowFirstColumn="0" w:firstRowLastColumn="0" w:lastRowFirstColumn="0" w:lastRowLastColumn="0"/>
            </w:pPr>
            <w:r w:rsidRPr="00297883">
              <w:t>University of Cambridge</w:t>
            </w:r>
          </w:p>
        </w:tc>
        <w:tc>
          <w:tcPr>
            <w:tcW w:w="829" w:type="pct"/>
            <w:noWrap/>
            <w:hideMark/>
          </w:tcPr>
          <w:p w:rsidR="003922F7" w:rsidRPr="00297883" w:rsidRDefault="00297883" w:rsidP="000D70F5">
            <w:pPr>
              <w:spacing w:before="0" w:after="0"/>
              <w:jc w:val="center"/>
              <w:cnfStyle w:val="000000100000" w:firstRow="0" w:lastRow="0" w:firstColumn="0" w:lastColumn="0" w:oddVBand="0" w:evenVBand="0" w:oddHBand="1" w:evenHBand="0" w:firstRowFirstColumn="0" w:firstRowLastColumn="0" w:lastRowFirstColumn="0" w:lastRowLastColumn="0"/>
            </w:pPr>
            <w:r>
              <w:t>4</w:t>
            </w:r>
          </w:p>
        </w:tc>
        <w:tc>
          <w:tcPr>
            <w:tcW w:w="672" w:type="pct"/>
            <w:noWrap/>
          </w:tcPr>
          <w:p w:rsidR="003922F7" w:rsidRPr="00297883" w:rsidRDefault="006A036A" w:rsidP="000D70F5">
            <w:pPr>
              <w:spacing w:before="0" w:after="0"/>
              <w:jc w:val="center"/>
              <w:cnfStyle w:val="000000100000" w:firstRow="0" w:lastRow="0" w:firstColumn="0" w:lastColumn="0" w:oddVBand="0" w:evenVBand="0" w:oddHBand="1" w:evenHBand="0" w:firstRowFirstColumn="0" w:firstRowLastColumn="0" w:lastRowFirstColumn="0" w:lastRowLastColumn="0"/>
            </w:pPr>
            <w:r>
              <w:t>1</w:t>
            </w:r>
          </w:p>
        </w:tc>
      </w:tr>
      <w:tr w:rsidR="006A036A" w:rsidRPr="00297883" w:rsidTr="000D70F5">
        <w:trPr>
          <w:trHeight w:hRule="exact" w:val="340"/>
        </w:trPr>
        <w:tc>
          <w:tcPr>
            <w:cnfStyle w:val="001000000000" w:firstRow="0" w:lastRow="0" w:firstColumn="1" w:lastColumn="0" w:oddVBand="0" w:evenVBand="0" w:oddHBand="0" w:evenHBand="0" w:firstRowFirstColumn="0" w:firstRowLastColumn="0" w:lastRowFirstColumn="0" w:lastRowLastColumn="0"/>
            <w:tcW w:w="1852" w:type="pct"/>
            <w:noWrap/>
            <w:hideMark/>
          </w:tcPr>
          <w:p w:rsidR="003922F7" w:rsidRPr="00297883" w:rsidRDefault="003922F7" w:rsidP="000D70F5">
            <w:pPr>
              <w:spacing w:before="0" w:after="0"/>
            </w:pPr>
            <w:r w:rsidRPr="00297883">
              <w:t> </w:t>
            </w:r>
          </w:p>
        </w:tc>
        <w:tc>
          <w:tcPr>
            <w:tcW w:w="1647" w:type="pct"/>
            <w:noWrap/>
            <w:hideMark/>
          </w:tcPr>
          <w:p w:rsidR="003922F7" w:rsidRPr="00297883" w:rsidRDefault="003922F7" w:rsidP="000D70F5">
            <w:pPr>
              <w:spacing w:before="0" w:after="0"/>
              <w:cnfStyle w:val="000000000000" w:firstRow="0" w:lastRow="0" w:firstColumn="0" w:lastColumn="0" w:oddVBand="0" w:evenVBand="0" w:oddHBand="0" w:evenHBand="0" w:firstRowFirstColumn="0" w:firstRowLastColumn="0" w:lastRowFirstColumn="0" w:lastRowLastColumn="0"/>
            </w:pPr>
            <w:r w:rsidRPr="00297883">
              <w:t>Anglia Ruskin University</w:t>
            </w:r>
          </w:p>
        </w:tc>
        <w:tc>
          <w:tcPr>
            <w:tcW w:w="829" w:type="pct"/>
            <w:noWrap/>
            <w:hideMark/>
          </w:tcPr>
          <w:p w:rsidR="003922F7" w:rsidRPr="00297883" w:rsidRDefault="003922F7" w:rsidP="000D70F5">
            <w:pPr>
              <w:spacing w:before="0" w:after="0"/>
              <w:jc w:val="center"/>
              <w:cnfStyle w:val="000000000000" w:firstRow="0" w:lastRow="0" w:firstColumn="0" w:lastColumn="0" w:oddVBand="0" w:evenVBand="0" w:oddHBand="0" w:evenHBand="0" w:firstRowFirstColumn="0" w:firstRowLastColumn="0" w:lastRowFirstColumn="0" w:lastRowLastColumn="0"/>
            </w:pPr>
            <w:r w:rsidRPr="00297883">
              <w:t>-</w:t>
            </w:r>
          </w:p>
        </w:tc>
        <w:tc>
          <w:tcPr>
            <w:tcW w:w="672" w:type="pct"/>
            <w:noWrap/>
          </w:tcPr>
          <w:p w:rsidR="003922F7" w:rsidRPr="00297883" w:rsidRDefault="006A036A" w:rsidP="000D70F5">
            <w:pPr>
              <w:spacing w:before="0" w:after="0"/>
              <w:jc w:val="center"/>
              <w:cnfStyle w:val="000000000000" w:firstRow="0" w:lastRow="0" w:firstColumn="0" w:lastColumn="0" w:oddVBand="0" w:evenVBand="0" w:oddHBand="0" w:evenHBand="0" w:firstRowFirstColumn="0" w:firstRowLastColumn="0" w:lastRowFirstColumn="0" w:lastRowLastColumn="0"/>
            </w:pPr>
            <w:r>
              <w:t>108</w:t>
            </w:r>
          </w:p>
        </w:tc>
      </w:tr>
      <w:tr w:rsidR="006A036A" w:rsidRPr="00297883" w:rsidTr="000D70F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52" w:type="pct"/>
            <w:noWrap/>
            <w:hideMark/>
          </w:tcPr>
          <w:p w:rsidR="003922F7" w:rsidRPr="00297883" w:rsidRDefault="003922F7" w:rsidP="000D70F5">
            <w:pPr>
              <w:spacing w:before="0" w:after="0"/>
            </w:pPr>
            <w:r w:rsidRPr="00297883">
              <w:t>Hertfordshire</w:t>
            </w:r>
          </w:p>
        </w:tc>
        <w:tc>
          <w:tcPr>
            <w:tcW w:w="1647" w:type="pct"/>
            <w:noWrap/>
            <w:hideMark/>
          </w:tcPr>
          <w:p w:rsidR="003922F7" w:rsidRPr="00297883" w:rsidRDefault="003922F7" w:rsidP="000D70F5">
            <w:pPr>
              <w:spacing w:before="0" w:after="0"/>
              <w:cnfStyle w:val="000000100000" w:firstRow="0" w:lastRow="0" w:firstColumn="0" w:lastColumn="0" w:oddVBand="0" w:evenVBand="0" w:oddHBand="1" w:evenHBand="0" w:firstRowFirstColumn="0" w:firstRowLastColumn="0" w:lastRowFirstColumn="0" w:lastRowLastColumn="0"/>
            </w:pPr>
            <w:r w:rsidRPr="00297883">
              <w:t>University of Hertfordshire</w:t>
            </w:r>
          </w:p>
        </w:tc>
        <w:tc>
          <w:tcPr>
            <w:tcW w:w="829" w:type="pct"/>
            <w:noWrap/>
            <w:hideMark/>
          </w:tcPr>
          <w:p w:rsidR="003922F7" w:rsidRPr="00297883" w:rsidRDefault="007F6B5C" w:rsidP="000D70F5">
            <w:pPr>
              <w:spacing w:before="0" w:after="0"/>
              <w:jc w:val="center"/>
              <w:cnfStyle w:val="000000100000" w:firstRow="0" w:lastRow="0" w:firstColumn="0" w:lastColumn="0" w:oddVBand="0" w:evenVBand="0" w:oddHBand="1" w:evenHBand="0" w:firstRowFirstColumn="0" w:firstRowLastColumn="0" w:lastRowFirstColumn="0" w:lastRowLastColumn="0"/>
            </w:pPr>
            <w:r>
              <w:t>501 – 600</w:t>
            </w:r>
          </w:p>
        </w:tc>
        <w:tc>
          <w:tcPr>
            <w:tcW w:w="672" w:type="pct"/>
            <w:noWrap/>
          </w:tcPr>
          <w:p w:rsidR="003922F7" w:rsidRPr="00297883" w:rsidRDefault="006A036A" w:rsidP="000D70F5">
            <w:pPr>
              <w:spacing w:before="0" w:after="0"/>
              <w:jc w:val="center"/>
              <w:cnfStyle w:val="000000100000" w:firstRow="0" w:lastRow="0" w:firstColumn="0" w:lastColumn="0" w:oddVBand="0" w:evenVBand="0" w:oddHBand="1" w:evenHBand="0" w:firstRowFirstColumn="0" w:firstRowLastColumn="0" w:lastRowFirstColumn="0" w:lastRowLastColumn="0"/>
            </w:pPr>
            <w:r>
              <w:t>76</w:t>
            </w:r>
          </w:p>
        </w:tc>
      </w:tr>
      <w:tr w:rsidR="006A036A" w:rsidRPr="00297883" w:rsidTr="000D70F5">
        <w:trPr>
          <w:trHeight w:hRule="exact" w:val="340"/>
        </w:trPr>
        <w:tc>
          <w:tcPr>
            <w:cnfStyle w:val="001000000000" w:firstRow="0" w:lastRow="0" w:firstColumn="1" w:lastColumn="0" w:oddVBand="0" w:evenVBand="0" w:oddHBand="0" w:evenHBand="0" w:firstRowFirstColumn="0" w:firstRowLastColumn="0" w:lastRowFirstColumn="0" w:lastRowLastColumn="0"/>
            <w:tcW w:w="1852" w:type="pct"/>
            <w:noWrap/>
            <w:hideMark/>
          </w:tcPr>
          <w:p w:rsidR="003922F7" w:rsidRPr="00297883" w:rsidRDefault="007F6B5C" w:rsidP="000D70F5">
            <w:pPr>
              <w:spacing w:before="0" w:after="0"/>
            </w:pPr>
            <w:r>
              <w:t>Oxfordshire</w:t>
            </w:r>
          </w:p>
        </w:tc>
        <w:tc>
          <w:tcPr>
            <w:tcW w:w="1647" w:type="pct"/>
            <w:noWrap/>
            <w:hideMark/>
          </w:tcPr>
          <w:p w:rsidR="003922F7" w:rsidRPr="00297883" w:rsidRDefault="003922F7" w:rsidP="000D70F5">
            <w:pPr>
              <w:spacing w:before="0" w:after="0"/>
              <w:cnfStyle w:val="000000000000" w:firstRow="0" w:lastRow="0" w:firstColumn="0" w:lastColumn="0" w:oddVBand="0" w:evenVBand="0" w:oddHBand="0" w:evenHBand="0" w:firstRowFirstColumn="0" w:firstRowLastColumn="0" w:lastRowFirstColumn="0" w:lastRowLastColumn="0"/>
            </w:pPr>
            <w:r w:rsidRPr="00297883">
              <w:t>University of Oxford</w:t>
            </w:r>
          </w:p>
        </w:tc>
        <w:tc>
          <w:tcPr>
            <w:tcW w:w="829" w:type="pct"/>
            <w:noWrap/>
            <w:hideMark/>
          </w:tcPr>
          <w:p w:rsidR="003922F7" w:rsidRPr="00297883" w:rsidRDefault="00297883" w:rsidP="000D70F5">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672" w:type="pct"/>
            <w:noWrap/>
          </w:tcPr>
          <w:p w:rsidR="003922F7" w:rsidRPr="00297883" w:rsidRDefault="006A036A" w:rsidP="000D70F5">
            <w:pPr>
              <w:spacing w:before="0" w:after="0"/>
              <w:jc w:val="center"/>
              <w:cnfStyle w:val="000000000000" w:firstRow="0" w:lastRow="0" w:firstColumn="0" w:lastColumn="0" w:oddVBand="0" w:evenVBand="0" w:oddHBand="0" w:evenHBand="0" w:firstRowFirstColumn="0" w:firstRowLastColumn="0" w:lastRowFirstColumn="0" w:lastRowLastColumn="0"/>
            </w:pPr>
            <w:r>
              <w:t>2</w:t>
            </w:r>
          </w:p>
        </w:tc>
      </w:tr>
      <w:tr w:rsidR="006A036A" w:rsidRPr="00297883" w:rsidTr="000D70F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52" w:type="pct"/>
            <w:noWrap/>
            <w:hideMark/>
          </w:tcPr>
          <w:p w:rsidR="003922F7" w:rsidRPr="00297883" w:rsidRDefault="003922F7" w:rsidP="000D70F5">
            <w:pPr>
              <w:spacing w:before="0" w:after="0"/>
            </w:pPr>
            <w:r w:rsidRPr="00297883">
              <w:t> </w:t>
            </w:r>
          </w:p>
        </w:tc>
        <w:tc>
          <w:tcPr>
            <w:tcW w:w="1647" w:type="pct"/>
            <w:noWrap/>
            <w:hideMark/>
          </w:tcPr>
          <w:p w:rsidR="003922F7" w:rsidRPr="00297883" w:rsidRDefault="003922F7" w:rsidP="000D70F5">
            <w:pPr>
              <w:spacing w:before="0" w:after="0"/>
              <w:cnfStyle w:val="000000100000" w:firstRow="0" w:lastRow="0" w:firstColumn="0" w:lastColumn="0" w:oddVBand="0" w:evenVBand="0" w:oddHBand="1" w:evenHBand="0" w:firstRowFirstColumn="0" w:firstRowLastColumn="0" w:lastRowFirstColumn="0" w:lastRowLastColumn="0"/>
            </w:pPr>
            <w:r w:rsidRPr="00297883">
              <w:t>Oxford Brookes University</w:t>
            </w:r>
          </w:p>
        </w:tc>
        <w:tc>
          <w:tcPr>
            <w:tcW w:w="829" w:type="pct"/>
            <w:noWrap/>
            <w:hideMark/>
          </w:tcPr>
          <w:p w:rsidR="003922F7" w:rsidRPr="00297883" w:rsidRDefault="007F6B5C" w:rsidP="000D70F5">
            <w:pPr>
              <w:spacing w:before="0" w:after="0"/>
              <w:jc w:val="center"/>
              <w:cnfStyle w:val="000000100000" w:firstRow="0" w:lastRow="0" w:firstColumn="0" w:lastColumn="0" w:oddVBand="0" w:evenVBand="0" w:oddHBand="1" w:evenHBand="0" w:firstRowFirstColumn="0" w:firstRowLastColumn="0" w:lastRowFirstColumn="0" w:lastRowLastColumn="0"/>
            </w:pPr>
            <w:r>
              <w:t>401 – 500</w:t>
            </w:r>
          </w:p>
        </w:tc>
        <w:tc>
          <w:tcPr>
            <w:tcW w:w="672" w:type="pct"/>
            <w:noWrap/>
          </w:tcPr>
          <w:p w:rsidR="003922F7" w:rsidRPr="00297883" w:rsidRDefault="006A036A" w:rsidP="000D70F5">
            <w:pPr>
              <w:spacing w:before="0" w:after="0"/>
              <w:jc w:val="center"/>
              <w:cnfStyle w:val="000000100000" w:firstRow="0" w:lastRow="0" w:firstColumn="0" w:lastColumn="0" w:oddVBand="0" w:evenVBand="0" w:oddHBand="1" w:evenHBand="0" w:firstRowFirstColumn="0" w:firstRowLastColumn="0" w:lastRowFirstColumn="0" w:lastRowLastColumn="0"/>
            </w:pPr>
            <w:r>
              <w:t>55</w:t>
            </w:r>
          </w:p>
        </w:tc>
      </w:tr>
      <w:tr w:rsidR="006A036A" w:rsidRPr="00297883" w:rsidTr="000D70F5">
        <w:trPr>
          <w:trHeight w:hRule="exact" w:val="340"/>
        </w:trPr>
        <w:tc>
          <w:tcPr>
            <w:cnfStyle w:val="001000000000" w:firstRow="0" w:lastRow="0" w:firstColumn="1" w:lastColumn="0" w:oddVBand="0" w:evenVBand="0" w:oddHBand="0" w:evenHBand="0" w:firstRowFirstColumn="0" w:firstRowLastColumn="0" w:lastRowFirstColumn="0" w:lastRowLastColumn="0"/>
            <w:tcW w:w="1852" w:type="pct"/>
            <w:noWrap/>
            <w:hideMark/>
          </w:tcPr>
          <w:p w:rsidR="003922F7" w:rsidRPr="00297883" w:rsidRDefault="003922F7" w:rsidP="000D70F5">
            <w:pPr>
              <w:spacing w:before="0" w:after="0"/>
            </w:pPr>
            <w:r w:rsidRPr="00297883">
              <w:t>South East Midlands</w:t>
            </w:r>
          </w:p>
        </w:tc>
        <w:tc>
          <w:tcPr>
            <w:tcW w:w="1647" w:type="pct"/>
            <w:noWrap/>
            <w:hideMark/>
          </w:tcPr>
          <w:p w:rsidR="003922F7" w:rsidRPr="00297883" w:rsidRDefault="003922F7" w:rsidP="000D70F5">
            <w:pPr>
              <w:spacing w:before="0" w:after="0"/>
              <w:cnfStyle w:val="000000000000" w:firstRow="0" w:lastRow="0" w:firstColumn="0" w:lastColumn="0" w:oddVBand="0" w:evenVBand="0" w:oddHBand="0" w:evenHBand="0" w:firstRowFirstColumn="0" w:firstRowLastColumn="0" w:lastRowFirstColumn="0" w:lastRowLastColumn="0"/>
            </w:pPr>
            <w:r w:rsidRPr="00297883">
              <w:t>University of Bedford</w:t>
            </w:r>
            <w:r w:rsidR="006A036A">
              <w:t>shire</w:t>
            </w:r>
          </w:p>
        </w:tc>
        <w:tc>
          <w:tcPr>
            <w:tcW w:w="829" w:type="pct"/>
            <w:noWrap/>
            <w:hideMark/>
          </w:tcPr>
          <w:p w:rsidR="003922F7" w:rsidRPr="00297883" w:rsidRDefault="003922F7" w:rsidP="000D70F5">
            <w:pPr>
              <w:spacing w:before="0" w:after="0"/>
              <w:jc w:val="center"/>
              <w:cnfStyle w:val="000000000000" w:firstRow="0" w:lastRow="0" w:firstColumn="0" w:lastColumn="0" w:oddVBand="0" w:evenVBand="0" w:oddHBand="0" w:evenHBand="0" w:firstRowFirstColumn="0" w:firstRowLastColumn="0" w:lastRowFirstColumn="0" w:lastRowLastColumn="0"/>
            </w:pPr>
            <w:r w:rsidRPr="00297883">
              <w:t>-</w:t>
            </w:r>
          </w:p>
        </w:tc>
        <w:tc>
          <w:tcPr>
            <w:tcW w:w="672" w:type="pct"/>
            <w:noWrap/>
          </w:tcPr>
          <w:p w:rsidR="003922F7" w:rsidRPr="00297883" w:rsidRDefault="006A036A" w:rsidP="000D70F5">
            <w:pPr>
              <w:spacing w:before="0" w:after="0"/>
              <w:jc w:val="center"/>
              <w:cnfStyle w:val="000000000000" w:firstRow="0" w:lastRow="0" w:firstColumn="0" w:lastColumn="0" w:oddVBand="0" w:evenVBand="0" w:oddHBand="0" w:evenHBand="0" w:firstRowFirstColumn="0" w:firstRowLastColumn="0" w:lastRowFirstColumn="0" w:lastRowLastColumn="0"/>
            </w:pPr>
            <w:r>
              <w:t>110</w:t>
            </w:r>
          </w:p>
        </w:tc>
      </w:tr>
      <w:tr w:rsidR="006A036A" w:rsidRPr="00297883" w:rsidTr="000D70F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52" w:type="pct"/>
            <w:noWrap/>
          </w:tcPr>
          <w:p w:rsidR="00297883" w:rsidRPr="00297883" w:rsidRDefault="00297883" w:rsidP="000D70F5">
            <w:pPr>
              <w:spacing w:before="0" w:after="0"/>
            </w:pPr>
          </w:p>
        </w:tc>
        <w:tc>
          <w:tcPr>
            <w:tcW w:w="1647" w:type="pct"/>
            <w:noWrap/>
          </w:tcPr>
          <w:p w:rsidR="00297883" w:rsidRPr="00297883" w:rsidRDefault="00297883" w:rsidP="000D70F5">
            <w:pPr>
              <w:spacing w:before="0" w:after="0"/>
              <w:cnfStyle w:val="000000100000" w:firstRow="0" w:lastRow="0" w:firstColumn="0" w:lastColumn="0" w:oddVBand="0" w:evenVBand="0" w:oddHBand="1" w:evenHBand="0" w:firstRowFirstColumn="0" w:firstRowLastColumn="0" w:lastRowFirstColumn="0" w:lastRowLastColumn="0"/>
            </w:pPr>
            <w:r w:rsidRPr="00297883">
              <w:t>Cranfield University</w:t>
            </w:r>
          </w:p>
        </w:tc>
        <w:tc>
          <w:tcPr>
            <w:tcW w:w="829" w:type="pct"/>
            <w:noWrap/>
          </w:tcPr>
          <w:p w:rsidR="00297883" w:rsidRPr="00297883" w:rsidRDefault="007F6B5C" w:rsidP="000D70F5">
            <w:pPr>
              <w:spacing w:before="0" w:after="0"/>
              <w:jc w:val="center"/>
              <w:cnfStyle w:val="000000100000" w:firstRow="0" w:lastRow="0" w:firstColumn="0" w:lastColumn="0" w:oddVBand="0" w:evenVBand="0" w:oddHBand="1" w:evenHBand="0" w:firstRowFirstColumn="0" w:firstRowLastColumn="0" w:lastRowFirstColumn="0" w:lastRowLastColumn="0"/>
            </w:pPr>
            <w:r>
              <w:t>N/A</w:t>
            </w:r>
          </w:p>
        </w:tc>
        <w:tc>
          <w:tcPr>
            <w:tcW w:w="672" w:type="pct"/>
            <w:noWrap/>
          </w:tcPr>
          <w:p w:rsidR="00297883" w:rsidRPr="00297883" w:rsidRDefault="006A036A" w:rsidP="000D70F5">
            <w:pPr>
              <w:spacing w:before="0" w:after="0"/>
              <w:jc w:val="center"/>
              <w:cnfStyle w:val="000000100000" w:firstRow="0" w:lastRow="0" w:firstColumn="0" w:lastColumn="0" w:oddVBand="0" w:evenVBand="0" w:oddHBand="1" w:evenHBand="0" w:firstRowFirstColumn="0" w:firstRowLastColumn="0" w:lastRowFirstColumn="0" w:lastRowLastColumn="0"/>
            </w:pPr>
            <w:r>
              <w:t>N/A</w:t>
            </w:r>
          </w:p>
        </w:tc>
      </w:tr>
      <w:tr w:rsidR="006A036A" w:rsidRPr="00297883" w:rsidTr="000D70F5">
        <w:trPr>
          <w:trHeight w:hRule="exact" w:val="340"/>
        </w:trPr>
        <w:tc>
          <w:tcPr>
            <w:cnfStyle w:val="001000000000" w:firstRow="0" w:lastRow="0" w:firstColumn="1" w:lastColumn="0" w:oddVBand="0" w:evenVBand="0" w:oddHBand="0" w:evenHBand="0" w:firstRowFirstColumn="0" w:firstRowLastColumn="0" w:lastRowFirstColumn="0" w:lastRowLastColumn="0"/>
            <w:tcW w:w="1852" w:type="pct"/>
            <w:noWrap/>
            <w:hideMark/>
          </w:tcPr>
          <w:p w:rsidR="003922F7" w:rsidRPr="00297883" w:rsidRDefault="003922F7" w:rsidP="000D70F5">
            <w:pPr>
              <w:spacing w:before="0" w:after="0"/>
            </w:pPr>
            <w:r w:rsidRPr="00297883">
              <w:t>Northamptonshire</w:t>
            </w:r>
          </w:p>
        </w:tc>
        <w:tc>
          <w:tcPr>
            <w:tcW w:w="1647" w:type="pct"/>
            <w:noWrap/>
            <w:hideMark/>
          </w:tcPr>
          <w:p w:rsidR="003922F7" w:rsidRPr="00297883" w:rsidRDefault="003922F7" w:rsidP="000D70F5">
            <w:pPr>
              <w:spacing w:before="0" w:after="0"/>
              <w:cnfStyle w:val="000000000000" w:firstRow="0" w:lastRow="0" w:firstColumn="0" w:lastColumn="0" w:oddVBand="0" w:evenVBand="0" w:oddHBand="0" w:evenHBand="0" w:firstRowFirstColumn="0" w:firstRowLastColumn="0" w:lastRowFirstColumn="0" w:lastRowLastColumn="0"/>
            </w:pPr>
            <w:r w:rsidRPr="00297883">
              <w:t>University of Northampton</w:t>
            </w:r>
          </w:p>
        </w:tc>
        <w:tc>
          <w:tcPr>
            <w:tcW w:w="829" w:type="pct"/>
            <w:noWrap/>
            <w:hideMark/>
          </w:tcPr>
          <w:p w:rsidR="003922F7" w:rsidRPr="00297883" w:rsidRDefault="003922F7" w:rsidP="000D70F5">
            <w:pPr>
              <w:spacing w:before="0" w:after="0"/>
              <w:jc w:val="center"/>
              <w:cnfStyle w:val="000000000000" w:firstRow="0" w:lastRow="0" w:firstColumn="0" w:lastColumn="0" w:oddVBand="0" w:evenVBand="0" w:oddHBand="0" w:evenHBand="0" w:firstRowFirstColumn="0" w:firstRowLastColumn="0" w:lastRowFirstColumn="0" w:lastRowLastColumn="0"/>
            </w:pPr>
            <w:r w:rsidRPr="00297883">
              <w:t>-</w:t>
            </w:r>
          </w:p>
        </w:tc>
        <w:tc>
          <w:tcPr>
            <w:tcW w:w="672" w:type="pct"/>
            <w:noWrap/>
          </w:tcPr>
          <w:p w:rsidR="003922F7" w:rsidRPr="00297883" w:rsidRDefault="006A036A" w:rsidP="000D70F5">
            <w:pPr>
              <w:spacing w:before="0" w:after="0"/>
              <w:jc w:val="center"/>
              <w:cnfStyle w:val="000000000000" w:firstRow="0" w:lastRow="0" w:firstColumn="0" w:lastColumn="0" w:oddVBand="0" w:evenVBand="0" w:oddHBand="0" w:evenHBand="0" w:firstRowFirstColumn="0" w:firstRowLastColumn="0" w:lastRowFirstColumn="0" w:lastRowLastColumn="0"/>
            </w:pPr>
            <w:r>
              <w:t>=82</w:t>
            </w:r>
          </w:p>
        </w:tc>
      </w:tr>
      <w:tr w:rsidR="006A036A" w:rsidRPr="00297883" w:rsidTr="000D70F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52" w:type="pct"/>
            <w:noWrap/>
            <w:hideMark/>
          </w:tcPr>
          <w:p w:rsidR="003922F7" w:rsidRPr="00297883" w:rsidRDefault="003922F7" w:rsidP="000D70F5">
            <w:pPr>
              <w:spacing w:before="0" w:after="0"/>
            </w:pPr>
            <w:r w:rsidRPr="00297883">
              <w:t>Buckinghamshire Thames Valley</w:t>
            </w:r>
          </w:p>
        </w:tc>
        <w:tc>
          <w:tcPr>
            <w:tcW w:w="1647" w:type="pct"/>
            <w:noWrap/>
            <w:hideMark/>
          </w:tcPr>
          <w:p w:rsidR="003922F7" w:rsidRPr="00297883" w:rsidRDefault="006A036A" w:rsidP="000D70F5">
            <w:pPr>
              <w:spacing w:before="0" w:after="0"/>
              <w:cnfStyle w:val="000000100000" w:firstRow="0" w:lastRow="0" w:firstColumn="0" w:lastColumn="0" w:oddVBand="0" w:evenVBand="0" w:oddHBand="1" w:evenHBand="0" w:firstRowFirstColumn="0" w:firstRowLastColumn="0" w:lastRowFirstColumn="0" w:lastRowLastColumn="0"/>
            </w:pPr>
            <w:r>
              <w:t>University of Buckingham</w:t>
            </w:r>
          </w:p>
        </w:tc>
        <w:tc>
          <w:tcPr>
            <w:tcW w:w="829" w:type="pct"/>
            <w:noWrap/>
            <w:hideMark/>
          </w:tcPr>
          <w:p w:rsidR="003922F7" w:rsidRPr="00297883" w:rsidRDefault="003922F7" w:rsidP="000D70F5">
            <w:pPr>
              <w:spacing w:before="0" w:after="0"/>
              <w:jc w:val="center"/>
              <w:cnfStyle w:val="000000100000" w:firstRow="0" w:lastRow="0" w:firstColumn="0" w:lastColumn="0" w:oddVBand="0" w:evenVBand="0" w:oddHBand="1" w:evenHBand="0" w:firstRowFirstColumn="0" w:firstRowLastColumn="0" w:lastRowFirstColumn="0" w:lastRowLastColumn="0"/>
            </w:pPr>
            <w:r w:rsidRPr="00297883">
              <w:t>-</w:t>
            </w:r>
          </w:p>
        </w:tc>
        <w:tc>
          <w:tcPr>
            <w:tcW w:w="672" w:type="pct"/>
            <w:noWrap/>
          </w:tcPr>
          <w:p w:rsidR="003922F7" w:rsidRPr="00297883" w:rsidRDefault="006A036A" w:rsidP="000D70F5">
            <w:pPr>
              <w:spacing w:before="0" w:after="0"/>
              <w:jc w:val="center"/>
              <w:cnfStyle w:val="000000100000" w:firstRow="0" w:lastRow="0" w:firstColumn="0" w:lastColumn="0" w:oddVBand="0" w:evenVBand="0" w:oddHBand="1" w:evenHBand="0" w:firstRowFirstColumn="0" w:firstRowLastColumn="0" w:lastRowFirstColumn="0" w:lastRowLastColumn="0"/>
            </w:pPr>
            <w:r>
              <w:t>=38</w:t>
            </w:r>
          </w:p>
        </w:tc>
      </w:tr>
      <w:tr w:rsidR="006A036A" w:rsidRPr="00297883" w:rsidTr="000D70F5">
        <w:trPr>
          <w:trHeight w:hRule="exact" w:val="340"/>
        </w:trPr>
        <w:tc>
          <w:tcPr>
            <w:cnfStyle w:val="001000000000" w:firstRow="0" w:lastRow="0" w:firstColumn="1" w:lastColumn="0" w:oddVBand="0" w:evenVBand="0" w:oddHBand="0" w:evenHBand="0" w:firstRowFirstColumn="0" w:firstRowLastColumn="0" w:lastRowFirstColumn="0" w:lastRowLastColumn="0"/>
            <w:tcW w:w="1852" w:type="pct"/>
            <w:noWrap/>
          </w:tcPr>
          <w:p w:rsidR="006A036A" w:rsidRPr="00297883" w:rsidRDefault="006A036A" w:rsidP="000D70F5">
            <w:pPr>
              <w:spacing w:before="0" w:after="0"/>
            </w:pPr>
          </w:p>
        </w:tc>
        <w:tc>
          <w:tcPr>
            <w:tcW w:w="1647" w:type="pct"/>
            <w:noWrap/>
          </w:tcPr>
          <w:p w:rsidR="006A036A" w:rsidRDefault="006A036A" w:rsidP="000D70F5">
            <w:pPr>
              <w:spacing w:before="0" w:after="0"/>
              <w:cnfStyle w:val="000000000000" w:firstRow="0" w:lastRow="0" w:firstColumn="0" w:lastColumn="0" w:oddVBand="0" w:evenVBand="0" w:oddHBand="0" w:evenHBand="0" w:firstRowFirstColumn="0" w:firstRowLastColumn="0" w:lastRowFirstColumn="0" w:lastRowLastColumn="0"/>
            </w:pPr>
            <w:r>
              <w:t>Buckinghamshire New University</w:t>
            </w:r>
          </w:p>
        </w:tc>
        <w:tc>
          <w:tcPr>
            <w:tcW w:w="829" w:type="pct"/>
            <w:noWrap/>
          </w:tcPr>
          <w:p w:rsidR="006A036A" w:rsidRPr="00297883" w:rsidRDefault="006A036A" w:rsidP="000D70F5">
            <w:pPr>
              <w:spacing w:before="0" w:after="0"/>
              <w:jc w:val="center"/>
              <w:cnfStyle w:val="000000000000" w:firstRow="0" w:lastRow="0" w:firstColumn="0" w:lastColumn="0" w:oddVBand="0" w:evenVBand="0" w:oddHBand="0" w:evenHBand="0" w:firstRowFirstColumn="0" w:firstRowLastColumn="0" w:lastRowFirstColumn="0" w:lastRowLastColumn="0"/>
            </w:pPr>
            <w:r>
              <w:t>-</w:t>
            </w:r>
          </w:p>
        </w:tc>
        <w:tc>
          <w:tcPr>
            <w:tcW w:w="672" w:type="pct"/>
            <w:noWrap/>
          </w:tcPr>
          <w:p w:rsidR="006A036A" w:rsidRDefault="006A036A" w:rsidP="000D70F5">
            <w:pPr>
              <w:spacing w:before="0" w:after="0"/>
              <w:jc w:val="center"/>
              <w:cnfStyle w:val="000000000000" w:firstRow="0" w:lastRow="0" w:firstColumn="0" w:lastColumn="0" w:oddVBand="0" w:evenVBand="0" w:oddHBand="0" w:evenHBand="0" w:firstRowFirstColumn="0" w:firstRowLastColumn="0" w:lastRowFirstColumn="0" w:lastRowLastColumn="0"/>
            </w:pPr>
            <w:r>
              <w:t>109</w:t>
            </w:r>
          </w:p>
        </w:tc>
      </w:tr>
    </w:tbl>
    <w:p w:rsidR="00480F5F" w:rsidRPr="00E051EB" w:rsidRDefault="0028327E" w:rsidP="00AD10FB">
      <w:pPr>
        <w:pStyle w:val="ListBullet"/>
        <w:rPr>
          <w:lang w:eastAsia="ar-SA"/>
        </w:rPr>
      </w:pPr>
      <w:r w:rsidRPr="006C3291">
        <w:rPr>
          <w:b/>
          <w:lang w:eastAsia="ar-SA"/>
        </w:rPr>
        <w:t>Relatively h</w:t>
      </w:r>
      <w:r w:rsidR="00AE7628" w:rsidRPr="006C3291">
        <w:rPr>
          <w:b/>
          <w:lang w:eastAsia="ar-SA"/>
        </w:rPr>
        <w:t>igh skill levels</w:t>
      </w:r>
      <w:r w:rsidR="00DB1178" w:rsidRPr="006C3291">
        <w:rPr>
          <w:b/>
          <w:lang w:eastAsia="ar-SA"/>
        </w:rPr>
        <w:t xml:space="preserve"> and volume</w:t>
      </w:r>
      <w:r w:rsidR="00AE7628" w:rsidRPr="006C3291">
        <w:rPr>
          <w:b/>
          <w:lang w:eastAsia="ar-SA"/>
        </w:rPr>
        <w:t>:</w:t>
      </w:r>
      <w:r w:rsidR="00AE7628">
        <w:rPr>
          <w:lang w:eastAsia="ar-SA"/>
        </w:rPr>
        <w:t xml:space="preserve"> Across the corridor, 32% </w:t>
      </w:r>
      <w:r w:rsidR="00DB1178">
        <w:rPr>
          <w:lang w:eastAsia="ar-SA"/>
        </w:rPr>
        <w:t xml:space="preserve">all residents between 16 and 64 year of age </w:t>
      </w:r>
      <w:r w:rsidR="00AE7628">
        <w:rPr>
          <w:lang w:eastAsia="ar-SA"/>
        </w:rPr>
        <w:t xml:space="preserve">have a Level 4 or above qualification, compared to an average </w:t>
      </w:r>
      <w:r w:rsidR="00DB1178">
        <w:rPr>
          <w:lang w:eastAsia="ar-SA"/>
        </w:rPr>
        <w:t xml:space="preserve">of </w:t>
      </w:r>
      <w:r w:rsidR="00AE7628">
        <w:rPr>
          <w:lang w:eastAsia="ar-SA"/>
        </w:rPr>
        <w:t xml:space="preserve">30% </w:t>
      </w:r>
      <w:r w:rsidR="00DB1178">
        <w:rPr>
          <w:lang w:eastAsia="ar-SA"/>
        </w:rPr>
        <w:t xml:space="preserve">for </w:t>
      </w:r>
      <w:r w:rsidR="00AE7628">
        <w:rPr>
          <w:lang w:eastAsia="ar-SA"/>
        </w:rPr>
        <w:t xml:space="preserve">England and Wales. </w:t>
      </w:r>
      <w:r w:rsidR="00146932">
        <w:rPr>
          <w:lang w:eastAsia="ar-SA"/>
        </w:rPr>
        <w:t>For s</w:t>
      </w:r>
      <w:r w:rsidR="00AE7628">
        <w:rPr>
          <w:lang w:eastAsia="ar-SA"/>
        </w:rPr>
        <w:t xml:space="preserve">even districts </w:t>
      </w:r>
      <w:r w:rsidR="00146932">
        <w:rPr>
          <w:lang w:eastAsia="ar-SA"/>
        </w:rPr>
        <w:t xml:space="preserve">it is </w:t>
      </w:r>
      <w:r w:rsidR="00AE7628">
        <w:rPr>
          <w:lang w:eastAsia="ar-SA"/>
        </w:rPr>
        <w:t>more than 40% – St Albans 50%, Cambridge 50%, Oxford 44%, Chiltern 44%, South Cambridgeshire 43%, South Buckinghamshire 40%, and Vale of the White Horse 40%</w:t>
      </w:r>
      <w:r w:rsidR="00DB1178">
        <w:rPr>
          <w:rStyle w:val="EndnoteReference"/>
          <w:lang w:eastAsia="ar-SA"/>
        </w:rPr>
        <w:endnoteReference w:id="9"/>
      </w:r>
      <w:r w:rsidR="00146932">
        <w:rPr>
          <w:lang w:eastAsia="ar-SA"/>
        </w:rPr>
        <w:t xml:space="preserve">. This shows the </w:t>
      </w:r>
      <w:r w:rsidR="00AE7628">
        <w:rPr>
          <w:lang w:eastAsia="ar-SA"/>
        </w:rPr>
        <w:t xml:space="preserve">polycentric clustering of highly skilled workforce </w:t>
      </w:r>
      <w:r w:rsidR="00DB1178">
        <w:rPr>
          <w:lang w:eastAsia="ar-SA"/>
        </w:rPr>
        <w:t xml:space="preserve">across the corridor, </w:t>
      </w:r>
      <w:r w:rsidR="00AE7628">
        <w:rPr>
          <w:lang w:eastAsia="ar-SA"/>
        </w:rPr>
        <w:t xml:space="preserve">typically in areas of very high quality of life with </w:t>
      </w:r>
      <w:r w:rsidR="00C16A7B">
        <w:rPr>
          <w:lang w:eastAsia="ar-SA"/>
        </w:rPr>
        <w:t>good connectivity</w:t>
      </w:r>
      <w:r w:rsidR="00AE7628">
        <w:rPr>
          <w:lang w:eastAsia="ar-SA"/>
        </w:rPr>
        <w:t xml:space="preserve"> to London </w:t>
      </w:r>
      <w:r w:rsidR="00DB1178">
        <w:rPr>
          <w:lang w:eastAsia="ar-SA"/>
        </w:rPr>
        <w:t>and/</w:t>
      </w:r>
      <w:r w:rsidR="00AE7628">
        <w:rPr>
          <w:lang w:eastAsia="ar-SA"/>
        </w:rPr>
        <w:t xml:space="preserve">or in areas of high productivity, knowledge-led jobs. </w:t>
      </w:r>
    </w:p>
    <w:p w:rsidR="00441BA1" w:rsidRDefault="006E1F81" w:rsidP="00BF2A17">
      <w:pPr>
        <w:pStyle w:val="ListBullet"/>
        <w:rPr>
          <w:lang w:eastAsia="ar-SA"/>
        </w:rPr>
      </w:pPr>
      <w:r w:rsidRPr="006C3291">
        <w:rPr>
          <w:b/>
          <w:lang w:eastAsia="ar-SA"/>
        </w:rPr>
        <w:t xml:space="preserve">Proximity to </w:t>
      </w:r>
      <w:r w:rsidR="0004326E" w:rsidRPr="006C3291">
        <w:rPr>
          <w:b/>
          <w:lang w:eastAsia="ar-SA"/>
        </w:rPr>
        <w:t xml:space="preserve">major, dynamic world markets, including </w:t>
      </w:r>
      <w:r w:rsidRPr="006C3291">
        <w:rPr>
          <w:b/>
          <w:lang w:eastAsia="ar-SA"/>
        </w:rPr>
        <w:t>London</w:t>
      </w:r>
      <w:r w:rsidR="00441BA1">
        <w:rPr>
          <w:b/>
          <w:lang w:eastAsia="ar-SA"/>
        </w:rPr>
        <w:t>,</w:t>
      </w:r>
      <w:r w:rsidR="006C3291">
        <w:rPr>
          <w:b/>
          <w:lang w:eastAsia="ar-SA"/>
        </w:rPr>
        <w:t xml:space="preserve"> Airports and Ports</w:t>
      </w:r>
      <w:r w:rsidR="0004326E" w:rsidRPr="006C3291">
        <w:rPr>
          <w:rStyle w:val="CommentReference"/>
          <w:b/>
        </w:rPr>
        <w:t xml:space="preserve">: </w:t>
      </w:r>
      <w:r w:rsidR="00435C8A">
        <w:rPr>
          <w:lang w:eastAsia="ar-SA"/>
        </w:rPr>
        <w:t xml:space="preserve">All </w:t>
      </w:r>
      <w:r w:rsidR="0004326E">
        <w:rPr>
          <w:lang w:eastAsia="ar-SA"/>
        </w:rPr>
        <w:t xml:space="preserve">of the </w:t>
      </w:r>
      <w:r w:rsidR="00107E2B" w:rsidRPr="0010479C">
        <w:rPr>
          <w:lang w:eastAsia="ar-SA"/>
        </w:rPr>
        <w:t>largest urban area</w:t>
      </w:r>
      <w:r w:rsidR="0004326E">
        <w:rPr>
          <w:lang w:eastAsia="ar-SA"/>
        </w:rPr>
        <w:t>s within the corridor</w:t>
      </w:r>
      <w:r w:rsidR="00435C8A">
        <w:rPr>
          <w:rStyle w:val="EndnoteReference"/>
          <w:lang w:eastAsia="ar-SA"/>
        </w:rPr>
        <w:endnoteReference w:id="10"/>
      </w:r>
      <w:r w:rsidR="0004326E">
        <w:rPr>
          <w:lang w:eastAsia="ar-SA"/>
        </w:rPr>
        <w:t xml:space="preserve"> </w:t>
      </w:r>
      <w:r w:rsidR="00435C8A">
        <w:rPr>
          <w:lang w:eastAsia="ar-SA"/>
        </w:rPr>
        <w:t xml:space="preserve">have </w:t>
      </w:r>
      <w:r w:rsidR="00107E2B" w:rsidRPr="0010479C">
        <w:rPr>
          <w:lang w:eastAsia="ar-SA"/>
        </w:rPr>
        <w:t xml:space="preserve">four or more </w:t>
      </w:r>
      <w:r w:rsidR="00435C8A">
        <w:rPr>
          <w:lang w:eastAsia="ar-SA"/>
        </w:rPr>
        <w:t xml:space="preserve">direct </w:t>
      </w:r>
      <w:r w:rsidR="00107E2B" w:rsidRPr="0010479C">
        <w:rPr>
          <w:lang w:eastAsia="ar-SA"/>
        </w:rPr>
        <w:t xml:space="preserve">trains per hour to London and journey times typically </w:t>
      </w:r>
      <w:r w:rsidR="00435C8A">
        <w:rPr>
          <w:lang w:eastAsia="ar-SA"/>
        </w:rPr>
        <w:t>of an hour or less</w:t>
      </w:r>
      <w:r w:rsidR="00BE534A">
        <w:rPr>
          <w:lang w:eastAsia="ar-SA"/>
        </w:rPr>
        <w:t>, except for Cambridge (three trains) and Oxford (two trains)</w:t>
      </w:r>
      <w:r w:rsidR="00435C8A">
        <w:rPr>
          <w:rStyle w:val="EndnoteReference"/>
          <w:lang w:eastAsia="ar-SA"/>
        </w:rPr>
        <w:endnoteReference w:id="11"/>
      </w:r>
      <w:r w:rsidR="00146932">
        <w:rPr>
          <w:lang w:eastAsia="ar-SA"/>
        </w:rPr>
        <w:t>. These offer</w:t>
      </w:r>
      <w:r w:rsidR="00CC22EC">
        <w:rPr>
          <w:lang w:eastAsia="ar-SA"/>
        </w:rPr>
        <w:t xml:space="preserve"> access to </w:t>
      </w:r>
      <w:r w:rsidR="00146932">
        <w:rPr>
          <w:lang w:eastAsia="ar-SA"/>
        </w:rPr>
        <w:t xml:space="preserve">London’s </w:t>
      </w:r>
      <w:r w:rsidR="00CC22EC">
        <w:rPr>
          <w:lang w:eastAsia="ar-SA"/>
        </w:rPr>
        <w:t>World City functions (</w:t>
      </w:r>
      <w:r w:rsidR="006C3291">
        <w:rPr>
          <w:lang w:eastAsia="ar-SA"/>
        </w:rPr>
        <w:t xml:space="preserve">e.g. </w:t>
      </w:r>
      <w:r w:rsidR="00CC22EC">
        <w:rPr>
          <w:lang w:eastAsia="ar-SA"/>
        </w:rPr>
        <w:t>finance, legal, advertising)</w:t>
      </w:r>
      <w:r w:rsidR="00BE534A">
        <w:rPr>
          <w:lang w:eastAsia="ar-SA"/>
        </w:rPr>
        <w:t xml:space="preserve">. </w:t>
      </w:r>
      <w:r w:rsidR="006C3291">
        <w:rPr>
          <w:lang w:eastAsia="ar-SA"/>
        </w:rPr>
        <w:t xml:space="preserve">The same urban areas </w:t>
      </w:r>
      <w:r w:rsidR="00E86AAC" w:rsidRPr="0010479C">
        <w:rPr>
          <w:lang w:eastAsia="ar-SA"/>
        </w:rPr>
        <w:t xml:space="preserve">are </w:t>
      </w:r>
      <w:r w:rsidR="006C3291">
        <w:rPr>
          <w:lang w:eastAsia="ar-SA"/>
        </w:rPr>
        <w:t xml:space="preserve">all </w:t>
      </w:r>
      <w:r w:rsidR="00E86AAC" w:rsidRPr="0010479C">
        <w:rPr>
          <w:lang w:eastAsia="ar-SA"/>
        </w:rPr>
        <w:t xml:space="preserve">within </w:t>
      </w:r>
      <w:r w:rsidR="00BE534A">
        <w:rPr>
          <w:lang w:eastAsia="ar-SA"/>
        </w:rPr>
        <w:t xml:space="preserve">approximately 60 </w:t>
      </w:r>
      <w:r w:rsidR="00E86AAC" w:rsidRPr="0010479C">
        <w:rPr>
          <w:lang w:eastAsia="ar-SA"/>
        </w:rPr>
        <w:t>minute</w:t>
      </w:r>
      <w:r w:rsidR="00BE534A">
        <w:rPr>
          <w:lang w:eastAsia="ar-SA"/>
        </w:rPr>
        <w:t>s’ drive-</w:t>
      </w:r>
      <w:r w:rsidR="00E86AAC" w:rsidRPr="0010479C">
        <w:rPr>
          <w:lang w:eastAsia="ar-SA"/>
        </w:rPr>
        <w:t xml:space="preserve">time of an </w:t>
      </w:r>
      <w:r w:rsidRPr="0010479C">
        <w:rPr>
          <w:lang w:eastAsia="ar-SA"/>
        </w:rPr>
        <w:t>international airport</w:t>
      </w:r>
      <w:r w:rsidR="00BE534A">
        <w:rPr>
          <w:rStyle w:val="EndnoteReference"/>
          <w:lang w:eastAsia="ar-SA"/>
        </w:rPr>
        <w:endnoteReference w:id="12"/>
      </w:r>
      <w:r w:rsidR="00146932">
        <w:rPr>
          <w:lang w:eastAsia="ar-SA"/>
        </w:rPr>
        <w:t xml:space="preserve">, although the accessibility of Heathrow </w:t>
      </w:r>
      <w:r w:rsidR="00355B29">
        <w:rPr>
          <w:lang w:eastAsia="ar-SA"/>
        </w:rPr>
        <w:t xml:space="preserve">varies. </w:t>
      </w:r>
    </w:p>
    <w:p w:rsidR="00F10299" w:rsidRPr="00B25948" w:rsidRDefault="00355B29" w:rsidP="00441BA1">
      <w:pPr>
        <w:pStyle w:val="ListBullet"/>
        <w:numPr>
          <w:ilvl w:val="0"/>
          <w:numId w:val="0"/>
        </w:numPr>
        <w:ind w:left="397"/>
        <w:rPr>
          <w:lang w:eastAsia="ar-SA"/>
        </w:rPr>
      </w:pPr>
      <w:r>
        <w:rPr>
          <w:lang w:eastAsia="ar-SA"/>
        </w:rPr>
        <w:t>Heathrow is currently by far the best connected airport in the country and will remain so for many years to come, regardless of the decision on the location of a new runway in the South East.</w:t>
      </w:r>
      <w:r w:rsidR="009D75AD">
        <w:rPr>
          <w:lang w:eastAsia="ar-SA"/>
        </w:rPr>
        <w:t xml:space="preserve"> </w:t>
      </w:r>
      <w:r w:rsidR="00F10299">
        <w:rPr>
          <w:lang w:eastAsia="ar-SA"/>
        </w:rPr>
        <w:t>Furthermore, c</w:t>
      </w:r>
      <w:r w:rsidR="00F10299" w:rsidRPr="00B25948">
        <w:rPr>
          <w:lang w:eastAsia="ar-SA"/>
        </w:rPr>
        <w:t xml:space="preserve">onnectivity </w:t>
      </w:r>
      <w:r w:rsidR="00F10299">
        <w:rPr>
          <w:lang w:eastAsia="ar-SA"/>
        </w:rPr>
        <w:t xml:space="preserve">from the corridor </w:t>
      </w:r>
      <w:r w:rsidR="00F10299" w:rsidRPr="00B25948">
        <w:rPr>
          <w:lang w:eastAsia="ar-SA"/>
        </w:rPr>
        <w:t xml:space="preserve">through to </w:t>
      </w:r>
      <w:r w:rsidR="00F10299">
        <w:rPr>
          <w:lang w:eastAsia="ar-SA"/>
        </w:rPr>
        <w:t xml:space="preserve">Southampton </w:t>
      </w:r>
      <w:r w:rsidR="00F10299" w:rsidRPr="00B25948">
        <w:rPr>
          <w:lang w:eastAsia="ar-SA"/>
        </w:rPr>
        <w:t xml:space="preserve">and Felixstowe also </w:t>
      </w:r>
      <w:r w:rsidR="00F10299">
        <w:rPr>
          <w:lang w:eastAsia="ar-SA"/>
        </w:rPr>
        <w:t>needs to</w:t>
      </w:r>
      <w:r w:rsidR="00C16A7B">
        <w:rPr>
          <w:lang w:eastAsia="ar-SA"/>
        </w:rPr>
        <w:t xml:space="preserve"> be</w:t>
      </w:r>
      <w:r w:rsidR="00F10299">
        <w:rPr>
          <w:lang w:eastAsia="ar-SA"/>
        </w:rPr>
        <w:t xml:space="preserve"> </w:t>
      </w:r>
      <w:r w:rsidR="00F10299" w:rsidRPr="00B25948">
        <w:rPr>
          <w:lang w:eastAsia="ar-SA"/>
        </w:rPr>
        <w:t xml:space="preserve">considered </w:t>
      </w:r>
      <w:r w:rsidR="00F10299">
        <w:rPr>
          <w:lang w:eastAsia="ar-SA"/>
        </w:rPr>
        <w:t xml:space="preserve">- some of the </w:t>
      </w:r>
      <w:r w:rsidR="00F10299" w:rsidRPr="00B25948">
        <w:rPr>
          <w:lang w:eastAsia="ar-SA"/>
        </w:rPr>
        <w:t xml:space="preserve">highest value and growth sectors in the corridor such as advanced manufacturing </w:t>
      </w:r>
      <w:r w:rsidR="00F10299">
        <w:rPr>
          <w:lang w:eastAsia="ar-SA"/>
        </w:rPr>
        <w:t xml:space="preserve">and the automotive sector </w:t>
      </w:r>
      <w:r w:rsidR="00F10299" w:rsidRPr="00B25948">
        <w:rPr>
          <w:lang w:eastAsia="ar-SA"/>
        </w:rPr>
        <w:t xml:space="preserve">require reliable and fast journey times between </w:t>
      </w:r>
      <w:r w:rsidR="00F10299">
        <w:rPr>
          <w:lang w:eastAsia="ar-SA"/>
        </w:rPr>
        <w:t xml:space="preserve">their </w:t>
      </w:r>
      <w:r w:rsidR="00F10299" w:rsidRPr="00B25948">
        <w:rPr>
          <w:lang w:eastAsia="ar-SA"/>
        </w:rPr>
        <w:t>plants</w:t>
      </w:r>
      <w:r w:rsidR="00F10299">
        <w:rPr>
          <w:lang w:eastAsia="ar-SA"/>
        </w:rPr>
        <w:t xml:space="preserve"> and </w:t>
      </w:r>
      <w:r w:rsidR="00F10299" w:rsidRPr="00B25948">
        <w:rPr>
          <w:lang w:eastAsia="ar-SA"/>
        </w:rPr>
        <w:t>ports.</w:t>
      </w:r>
    </w:p>
    <w:p w:rsidR="00EE4BF6" w:rsidRPr="008F6F93" w:rsidRDefault="006E1F81" w:rsidP="006C3291">
      <w:pPr>
        <w:pStyle w:val="ListBullet"/>
        <w:rPr>
          <w:lang w:eastAsia="ar-SA"/>
        </w:rPr>
      </w:pPr>
      <w:r w:rsidRPr="006C3291">
        <w:rPr>
          <w:b/>
          <w:lang w:eastAsia="ar-SA"/>
        </w:rPr>
        <w:t>Quality of life</w:t>
      </w:r>
      <w:r w:rsidR="006C3291" w:rsidRPr="006C3291">
        <w:rPr>
          <w:b/>
          <w:lang w:eastAsia="ar-SA"/>
        </w:rPr>
        <w:t xml:space="preserve">: </w:t>
      </w:r>
      <w:r w:rsidR="006C3291">
        <w:rPr>
          <w:lang w:eastAsia="ar-SA"/>
        </w:rPr>
        <w:t xml:space="preserve">In addition to </w:t>
      </w:r>
      <w:r w:rsidR="001B2B9C">
        <w:rPr>
          <w:lang w:eastAsia="ar-SA"/>
        </w:rPr>
        <w:t xml:space="preserve">proximity to </w:t>
      </w:r>
      <w:r w:rsidR="006C3291">
        <w:rPr>
          <w:lang w:eastAsia="ar-SA"/>
        </w:rPr>
        <w:t>dynamic, major world markets</w:t>
      </w:r>
      <w:r w:rsidR="001B2B9C">
        <w:rPr>
          <w:lang w:eastAsia="ar-SA"/>
        </w:rPr>
        <w:t xml:space="preserve"> and their transport links, cultural, and retail offers</w:t>
      </w:r>
      <w:r w:rsidR="00107E2B" w:rsidRPr="008F6F93">
        <w:rPr>
          <w:lang w:eastAsia="ar-SA"/>
        </w:rPr>
        <w:t xml:space="preserve">, </w:t>
      </w:r>
      <w:r w:rsidR="006C3291">
        <w:rPr>
          <w:lang w:eastAsia="ar-SA"/>
        </w:rPr>
        <w:t xml:space="preserve">the corridor boasts many </w:t>
      </w:r>
      <w:r w:rsidR="00107E2B" w:rsidRPr="008F6F93">
        <w:rPr>
          <w:lang w:eastAsia="ar-SA"/>
        </w:rPr>
        <w:t xml:space="preserve">historic </w:t>
      </w:r>
      <w:r w:rsidR="006C3291">
        <w:rPr>
          <w:lang w:eastAsia="ar-SA"/>
        </w:rPr>
        <w:t xml:space="preserve">market </w:t>
      </w:r>
      <w:r w:rsidR="00107E2B" w:rsidRPr="008F6F93">
        <w:rPr>
          <w:lang w:eastAsia="ar-SA"/>
        </w:rPr>
        <w:t>towns and cities</w:t>
      </w:r>
      <w:r w:rsidR="00414EB8">
        <w:rPr>
          <w:lang w:eastAsia="ar-SA"/>
        </w:rPr>
        <w:t xml:space="preserve">. Several of these towns and cities have </w:t>
      </w:r>
      <w:r w:rsidR="006C3291">
        <w:rPr>
          <w:lang w:eastAsia="ar-SA"/>
        </w:rPr>
        <w:t xml:space="preserve">cultural </w:t>
      </w:r>
      <w:r w:rsidR="001B2B9C">
        <w:rPr>
          <w:lang w:eastAsia="ar-SA"/>
        </w:rPr>
        <w:t xml:space="preserve">and retail </w:t>
      </w:r>
      <w:r w:rsidR="006C3291">
        <w:rPr>
          <w:lang w:eastAsia="ar-SA"/>
        </w:rPr>
        <w:t>offerings</w:t>
      </w:r>
      <w:r w:rsidR="001B2B9C">
        <w:rPr>
          <w:lang w:eastAsia="ar-SA"/>
        </w:rPr>
        <w:t xml:space="preserve"> of national </w:t>
      </w:r>
      <w:r w:rsidR="00414EB8">
        <w:rPr>
          <w:lang w:eastAsia="ar-SA"/>
        </w:rPr>
        <w:t xml:space="preserve">significance, and most historic towns and cities have high quality schools with ‘outstanding’ and ‘good’ </w:t>
      </w:r>
      <w:proofErr w:type="spellStart"/>
      <w:r w:rsidR="00414EB8">
        <w:rPr>
          <w:lang w:eastAsia="ar-SA"/>
        </w:rPr>
        <w:t>OfSTED</w:t>
      </w:r>
      <w:proofErr w:type="spellEnd"/>
      <w:r w:rsidR="00414EB8">
        <w:rPr>
          <w:lang w:eastAsia="ar-SA"/>
        </w:rPr>
        <w:t xml:space="preserve"> ratings</w:t>
      </w:r>
      <w:r w:rsidR="001B2B9C">
        <w:rPr>
          <w:lang w:eastAsia="ar-SA"/>
        </w:rPr>
        <w:t xml:space="preserve">. </w:t>
      </w:r>
      <w:r w:rsidR="00355B29">
        <w:rPr>
          <w:lang w:eastAsia="ar-SA"/>
        </w:rPr>
        <w:t xml:space="preserve">Many </w:t>
      </w:r>
      <w:r w:rsidR="001B2B9C">
        <w:rPr>
          <w:lang w:eastAsia="ar-SA"/>
        </w:rPr>
        <w:t xml:space="preserve">towns and cities have attractive </w:t>
      </w:r>
      <w:r w:rsidR="00107E2B" w:rsidRPr="008F6F93">
        <w:rPr>
          <w:lang w:eastAsia="ar-SA"/>
        </w:rPr>
        <w:t xml:space="preserve">rural </w:t>
      </w:r>
      <w:r w:rsidR="006C3291">
        <w:rPr>
          <w:lang w:eastAsia="ar-SA"/>
        </w:rPr>
        <w:t xml:space="preserve">hinterlands </w:t>
      </w:r>
      <w:r w:rsidR="001B2B9C">
        <w:rPr>
          <w:lang w:eastAsia="ar-SA"/>
        </w:rPr>
        <w:t xml:space="preserve">and </w:t>
      </w:r>
      <w:r w:rsidR="00355B29">
        <w:rPr>
          <w:lang w:eastAsia="ar-SA"/>
        </w:rPr>
        <w:t xml:space="preserve">a number of </w:t>
      </w:r>
      <w:r w:rsidR="00107E2B" w:rsidRPr="008F6F93">
        <w:rPr>
          <w:lang w:eastAsia="ar-SA"/>
        </w:rPr>
        <w:t>Areas of Outstanding Natural Beauty</w:t>
      </w:r>
      <w:r w:rsidR="006C3291">
        <w:rPr>
          <w:lang w:eastAsia="ar-SA"/>
        </w:rPr>
        <w:t xml:space="preserve"> </w:t>
      </w:r>
      <w:r w:rsidR="001B2B9C">
        <w:rPr>
          <w:lang w:eastAsia="ar-SA"/>
        </w:rPr>
        <w:t xml:space="preserve">sit within the corridor </w:t>
      </w:r>
      <w:r w:rsidR="006C3291">
        <w:rPr>
          <w:lang w:eastAsia="ar-SA"/>
        </w:rPr>
        <w:t>(i.e. The Cotswolds, North Wessex Downs, and The Chilterns)</w:t>
      </w:r>
      <w:r w:rsidR="00107E2B" w:rsidRPr="008F6F93">
        <w:rPr>
          <w:lang w:eastAsia="ar-SA"/>
        </w:rPr>
        <w:t>.</w:t>
      </w:r>
    </w:p>
    <w:p w:rsidR="006E1F81" w:rsidRPr="00DA6C65" w:rsidRDefault="00CC22EC" w:rsidP="000D70F5">
      <w:pPr>
        <w:rPr>
          <w:lang w:eastAsia="ar-SA"/>
        </w:rPr>
      </w:pPr>
      <w:r w:rsidRPr="00CC22EC">
        <w:rPr>
          <w:lang w:eastAsia="ar-SA"/>
        </w:rPr>
        <w:t xml:space="preserve">While </w:t>
      </w:r>
      <w:r w:rsidRPr="00DA6C65">
        <w:rPr>
          <w:lang w:eastAsia="ar-SA"/>
        </w:rPr>
        <w:t>t</w:t>
      </w:r>
      <w:r w:rsidR="006E1F81" w:rsidRPr="00DA6C65">
        <w:rPr>
          <w:lang w:eastAsia="ar-SA"/>
        </w:rPr>
        <w:t xml:space="preserve">hese strengths build on </w:t>
      </w:r>
      <w:r w:rsidR="00EE4BF6" w:rsidRPr="00DA6C65">
        <w:rPr>
          <w:lang w:eastAsia="ar-SA"/>
        </w:rPr>
        <w:t>many historic</w:t>
      </w:r>
      <w:r w:rsidRPr="00DA6C65">
        <w:rPr>
          <w:lang w:eastAsia="ar-SA"/>
        </w:rPr>
        <w:t>al</w:t>
      </w:r>
      <w:r w:rsidR="00EE4BF6" w:rsidRPr="00DA6C65">
        <w:rPr>
          <w:lang w:eastAsia="ar-SA"/>
        </w:rPr>
        <w:t xml:space="preserve"> </w:t>
      </w:r>
      <w:r w:rsidR="00881099" w:rsidRPr="00DA6C65">
        <w:rPr>
          <w:lang w:eastAsia="ar-SA"/>
        </w:rPr>
        <w:t>factors</w:t>
      </w:r>
      <w:r w:rsidR="00355B29">
        <w:rPr>
          <w:lang w:eastAsia="ar-SA"/>
        </w:rPr>
        <w:t>,</w:t>
      </w:r>
      <w:r w:rsidR="00881099" w:rsidRPr="00DA6C65">
        <w:rPr>
          <w:lang w:eastAsia="ar-SA"/>
        </w:rPr>
        <w:t xml:space="preserve"> such as </w:t>
      </w:r>
      <w:r w:rsidR="006E1F81" w:rsidRPr="00DA6C65">
        <w:rPr>
          <w:lang w:eastAsia="ar-SA"/>
        </w:rPr>
        <w:t xml:space="preserve">the </w:t>
      </w:r>
      <w:r w:rsidR="00881099" w:rsidRPr="00DA6C65">
        <w:rPr>
          <w:lang w:eastAsia="ar-SA"/>
        </w:rPr>
        <w:t xml:space="preserve">founding </w:t>
      </w:r>
      <w:r w:rsidR="006E1F81" w:rsidRPr="00DA6C65">
        <w:rPr>
          <w:lang w:eastAsia="ar-SA"/>
        </w:rPr>
        <w:t>location of industries and higher education institutes</w:t>
      </w:r>
      <w:r w:rsidR="006B1513">
        <w:rPr>
          <w:lang w:eastAsia="ar-SA"/>
        </w:rPr>
        <w:t>, t</w:t>
      </w:r>
      <w:r w:rsidR="006E1F81" w:rsidRPr="00CC22EC">
        <w:rPr>
          <w:lang w:eastAsia="ar-SA"/>
        </w:rPr>
        <w:t>he benefit afforded f</w:t>
      </w:r>
      <w:r w:rsidRPr="00DA6C65">
        <w:rPr>
          <w:lang w:eastAsia="ar-SA"/>
        </w:rPr>
        <w:t>r</w:t>
      </w:r>
      <w:r w:rsidR="006E1F81" w:rsidRPr="00DA6C65">
        <w:rPr>
          <w:lang w:eastAsia="ar-SA"/>
        </w:rPr>
        <w:t>om these strengths cannot be ta</w:t>
      </w:r>
      <w:r w:rsidR="00A17920" w:rsidRPr="00DA6C65">
        <w:rPr>
          <w:lang w:eastAsia="ar-SA"/>
        </w:rPr>
        <w:t>ken for granted</w:t>
      </w:r>
      <w:r w:rsidR="006B1513">
        <w:rPr>
          <w:lang w:eastAsia="ar-SA"/>
        </w:rPr>
        <w:t>. T</w:t>
      </w:r>
      <w:r w:rsidR="00A17920" w:rsidRPr="00DA6C65">
        <w:rPr>
          <w:lang w:eastAsia="ar-SA"/>
        </w:rPr>
        <w:t xml:space="preserve">he current </w:t>
      </w:r>
      <w:r w:rsidR="006E1F81" w:rsidRPr="00DA6C65">
        <w:rPr>
          <w:lang w:eastAsia="ar-SA"/>
        </w:rPr>
        <w:t xml:space="preserve">situation underplays the huge potential of locations </w:t>
      </w:r>
      <w:r w:rsidR="006B1513">
        <w:rPr>
          <w:lang w:eastAsia="ar-SA"/>
        </w:rPr>
        <w:t>throughout</w:t>
      </w:r>
      <w:r w:rsidR="006B1513" w:rsidRPr="00DA6C65">
        <w:rPr>
          <w:lang w:eastAsia="ar-SA"/>
        </w:rPr>
        <w:t xml:space="preserve"> </w:t>
      </w:r>
      <w:r w:rsidR="006E1F81" w:rsidRPr="00DA6C65">
        <w:rPr>
          <w:lang w:eastAsia="ar-SA"/>
        </w:rPr>
        <w:t>the corridor.</w:t>
      </w:r>
    </w:p>
    <w:p w:rsidR="003E347D" w:rsidRPr="004362EE" w:rsidRDefault="003E347D" w:rsidP="003E347D">
      <w:pPr>
        <w:pStyle w:val="Heading3"/>
        <w:rPr>
          <w:lang w:eastAsia="ar-SA"/>
        </w:rPr>
      </w:pPr>
      <w:r>
        <w:rPr>
          <w:lang w:eastAsia="ar-SA"/>
        </w:rPr>
        <w:t>W</w:t>
      </w:r>
      <w:r w:rsidRPr="004362EE">
        <w:rPr>
          <w:lang w:eastAsia="ar-SA"/>
        </w:rPr>
        <w:t>hat is holding back further growth and greater productivity?</w:t>
      </w:r>
    </w:p>
    <w:p w:rsidR="00EE4BF6" w:rsidRPr="001D03EE" w:rsidRDefault="007028B3" w:rsidP="003E347D">
      <w:pPr>
        <w:rPr>
          <w:lang w:eastAsia="ar-SA"/>
        </w:rPr>
      </w:pPr>
      <w:r>
        <w:rPr>
          <w:lang w:eastAsia="ar-SA"/>
        </w:rPr>
        <w:t>The c</w:t>
      </w:r>
      <w:r w:rsidR="006E1F81" w:rsidRPr="001D03EE">
        <w:rPr>
          <w:lang w:eastAsia="ar-SA"/>
        </w:rPr>
        <w:t xml:space="preserve">orridor </w:t>
      </w:r>
      <w:r>
        <w:rPr>
          <w:lang w:eastAsia="ar-SA"/>
        </w:rPr>
        <w:t xml:space="preserve">is one </w:t>
      </w:r>
      <w:r w:rsidR="006E1F81" w:rsidRPr="001D03EE">
        <w:rPr>
          <w:lang w:eastAsia="ar-SA"/>
        </w:rPr>
        <w:t>of high productivity</w:t>
      </w:r>
      <w:r>
        <w:rPr>
          <w:lang w:eastAsia="ar-SA"/>
        </w:rPr>
        <w:t xml:space="preserve"> and very high employment</w:t>
      </w:r>
      <w:r w:rsidR="006E1F81" w:rsidRPr="001D03EE">
        <w:rPr>
          <w:lang w:eastAsia="ar-SA"/>
        </w:rPr>
        <w:t>, but productivity</w:t>
      </w:r>
      <w:r>
        <w:rPr>
          <w:lang w:eastAsia="ar-SA"/>
        </w:rPr>
        <w:t xml:space="preserve"> and employment </w:t>
      </w:r>
      <w:r w:rsidR="006E1F81" w:rsidRPr="001D03EE">
        <w:rPr>
          <w:lang w:eastAsia="ar-SA"/>
        </w:rPr>
        <w:t xml:space="preserve">are not equal </w:t>
      </w:r>
      <w:r w:rsidR="006B1513">
        <w:rPr>
          <w:lang w:eastAsia="ar-SA"/>
        </w:rPr>
        <w:t xml:space="preserve">throughout </w:t>
      </w:r>
      <w:r w:rsidR="006E1F81" w:rsidRPr="001D03EE">
        <w:rPr>
          <w:lang w:eastAsia="ar-SA"/>
        </w:rPr>
        <w:t>the corridor.</w:t>
      </w:r>
      <w:r>
        <w:rPr>
          <w:lang w:eastAsia="ar-SA"/>
        </w:rPr>
        <w:t xml:space="preserve"> </w:t>
      </w:r>
      <w:r w:rsidR="00441BA1">
        <w:rPr>
          <w:lang w:eastAsia="ar-SA"/>
        </w:rPr>
        <w:t>T</w:t>
      </w:r>
      <w:r w:rsidR="00EE4BF6" w:rsidRPr="001D03EE">
        <w:rPr>
          <w:lang w:eastAsia="ar-SA"/>
        </w:rPr>
        <w:t xml:space="preserve">here is a need to balance supporting productivity growth </w:t>
      </w:r>
      <w:r>
        <w:rPr>
          <w:lang w:eastAsia="ar-SA"/>
        </w:rPr>
        <w:t xml:space="preserve">with </w:t>
      </w:r>
      <w:r w:rsidR="00EE4BF6" w:rsidRPr="001D03EE">
        <w:rPr>
          <w:lang w:eastAsia="ar-SA"/>
        </w:rPr>
        <w:t xml:space="preserve">employment </w:t>
      </w:r>
      <w:r>
        <w:rPr>
          <w:lang w:eastAsia="ar-SA"/>
        </w:rPr>
        <w:t xml:space="preserve">to create sustainable and inclusive </w:t>
      </w:r>
      <w:r w:rsidR="00EE4BF6" w:rsidRPr="001D03EE">
        <w:rPr>
          <w:lang w:eastAsia="ar-SA"/>
        </w:rPr>
        <w:t>growth.</w:t>
      </w:r>
      <w:r>
        <w:rPr>
          <w:lang w:eastAsia="ar-SA"/>
        </w:rPr>
        <w:t xml:space="preserve"> </w:t>
      </w:r>
      <w:r w:rsidR="00EE4BF6" w:rsidRPr="001D03EE">
        <w:rPr>
          <w:lang w:eastAsia="ar-SA"/>
        </w:rPr>
        <w:t xml:space="preserve">To achieve significant </w:t>
      </w:r>
      <w:r w:rsidR="00441BA1">
        <w:rPr>
          <w:lang w:eastAsia="ar-SA"/>
        </w:rPr>
        <w:t xml:space="preserve">growth in </w:t>
      </w:r>
      <w:r w:rsidR="00EE4BF6" w:rsidRPr="001D03EE">
        <w:rPr>
          <w:lang w:eastAsia="ar-SA"/>
        </w:rPr>
        <w:t>productivity and employment there are several</w:t>
      </w:r>
      <w:r>
        <w:rPr>
          <w:lang w:eastAsia="ar-SA"/>
        </w:rPr>
        <w:t xml:space="preserve"> interconnected</w:t>
      </w:r>
      <w:r w:rsidR="00EE4BF6" w:rsidRPr="001D03EE">
        <w:rPr>
          <w:lang w:eastAsia="ar-SA"/>
        </w:rPr>
        <w:t xml:space="preserve"> key barriers:</w:t>
      </w:r>
    </w:p>
    <w:p w:rsidR="00EE4BF6" w:rsidRPr="0010479C" w:rsidRDefault="00021C81" w:rsidP="003E347D">
      <w:pPr>
        <w:pStyle w:val="ListBullet"/>
        <w:rPr>
          <w:lang w:eastAsia="ar-SA"/>
        </w:rPr>
      </w:pPr>
      <w:r w:rsidRPr="002C3D20">
        <w:rPr>
          <w:b/>
          <w:lang w:eastAsia="ar-SA"/>
        </w:rPr>
        <w:t>Skills gaps</w:t>
      </w:r>
      <w:r w:rsidR="002C3D20" w:rsidRPr="002C3D20">
        <w:rPr>
          <w:b/>
          <w:lang w:eastAsia="ar-SA"/>
        </w:rPr>
        <w:t xml:space="preserve">: </w:t>
      </w:r>
      <w:r w:rsidR="00414EB8">
        <w:rPr>
          <w:lang w:eastAsia="ar-SA"/>
        </w:rPr>
        <w:t>O</w:t>
      </w:r>
      <w:r w:rsidR="00107E2B" w:rsidRPr="0010479C">
        <w:rPr>
          <w:lang w:eastAsia="ar-SA"/>
        </w:rPr>
        <w:t>ur top businesses</w:t>
      </w:r>
      <w:r w:rsidR="006B1513">
        <w:rPr>
          <w:lang w:eastAsia="ar-SA"/>
        </w:rPr>
        <w:t>’</w:t>
      </w:r>
      <w:r w:rsidR="00107E2B" w:rsidRPr="0010479C">
        <w:rPr>
          <w:lang w:eastAsia="ar-SA"/>
        </w:rPr>
        <w:t xml:space="preserve"> key concern </w:t>
      </w:r>
      <w:r w:rsidR="006B1513">
        <w:rPr>
          <w:lang w:eastAsia="ar-SA"/>
        </w:rPr>
        <w:t>is</w:t>
      </w:r>
      <w:r w:rsidR="006B1513" w:rsidRPr="0010479C">
        <w:rPr>
          <w:lang w:eastAsia="ar-SA"/>
        </w:rPr>
        <w:t xml:space="preserve"> </w:t>
      </w:r>
      <w:r w:rsidR="00107E2B" w:rsidRPr="0010479C">
        <w:rPr>
          <w:lang w:eastAsia="ar-SA"/>
        </w:rPr>
        <w:t>access to skilled labour.</w:t>
      </w:r>
      <w:r w:rsidR="00C41DF2">
        <w:rPr>
          <w:lang w:eastAsia="ar-SA"/>
        </w:rPr>
        <w:t xml:space="preserve"> Collectively, w</w:t>
      </w:r>
      <w:r w:rsidR="00107E2B" w:rsidRPr="0010479C">
        <w:rPr>
          <w:lang w:eastAsia="ar-SA"/>
        </w:rPr>
        <w:t xml:space="preserve">e have </w:t>
      </w:r>
      <w:r w:rsidR="00C41DF2">
        <w:rPr>
          <w:lang w:eastAsia="ar-SA"/>
        </w:rPr>
        <w:t>problems</w:t>
      </w:r>
      <w:r w:rsidR="00C41DF2" w:rsidRPr="0010479C">
        <w:rPr>
          <w:lang w:eastAsia="ar-SA"/>
        </w:rPr>
        <w:t xml:space="preserve"> </w:t>
      </w:r>
      <w:r w:rsidR="00107E2B" w:rsidRPr="0010479C">
        <w:rPr>
          <w:lang w:eastAsia="ar-SA"/>
        </w:rPr>
        <w:t xml:space="preserve">of a skills </w:t>
      </w:r>
      <w:r w:rsidR="00EE4BF6" w:rsidRPr="0010479C">
        <w:rPr>
          <w:lang w:eastAsia="ar-SA"/>
        </w:rPr>
        <w:t xml:space="preserve">mismatch, </w:t>
      </w:r>
      <w:r w:rsidR="00107E2B" w:rsidRPr="0010479C">
        <w:rPr>
          <w:lang w:eastAsia="ar-SA"/>
        </w:rPr>
        <w:t xml:space="preserve">skills </w:t>
      </w:r>
      <w:r w:rsidR="00EE4BF6" w:rsidRPr="0010479C">
        <w:rPr>
          <w:lang w:eastAsia="ar-SA"/>
        </w:rPr>
        <w:t>retention</w:t>
      </w:r>
      <w:r w:rsidR="00107E2B" w:rsidRPr="0010479C">
        <w:rPr>
          <w:lang w:eastAsia="ar-SA"/>
        </w:rPr>
        <w:t xml:space="preserve"> from our world-class Higher Education Institutes,</w:t>
      </w:r>
      <w:r w:rsidR="00473E58">
        <w:rPr>
          <w:lang w:eastAsia="ar-SA"/>
        </w:rPr>
        <w:t xml:space="preserve"> </w:t>
      </w:r>
      <w:r w:rsidR="00C41DF2">
        <w:rPr>
          <w:lang w:eastAsia="ar-SA"/>
        </w:rPr>
        <w:t xml:space="preserve">some </w:t>
      </w:r>
      <w:r w:rsidR="00473E58">
        <w:rPr>
          <w:lang w:eastAsia="ar-SA"/>
        </w:rPr>
        <w:t>low quality school</w:t>
      </w:r>
      <w:r w:rsidR="00C41DF2">
        <w:rPr>
          <w:lang w:eastAsia="ar-SA"/>
        </w:rPr>
        <w:t>s</w:t>
      </w:r>
      <w:r w:rsidR="00473E58">
        <w:rPr>
          <w:lang w:eastAsia="ar-SA"/>
        </w:rPr>
        <w:t xml:space="preserve"> and further education teach</w:t>
      </w:r>
      <w:r w:rsidR="000D70F5">
        <w:rPr>
          <w:lang w:eastAsia="ar-SA"/>
        </w:rPr>
        <w:t>ing</w:t>
      </w:r>
      <w:r w:rsidR="00107E2B" w:rsidRPr="0010479C">
        <w:rPr>
          <w:lang w:eastAsia="ar-SA"/>
        </w:rPr>
        <w:t>.</w:t>
      </w:r>
      <w:r w:rsidR="00A17920" w:rsidRPr="0010479C">
        <w:rPr>
          <w:lang w:eastAsia="ar-SA"/>
        </w:rPr>
        <w:t xml:space="preserve"> </w:t>
      </w:r>
      <w:r w:rsidR="00B01A11">
        <w:rPr>
          <w:lang w:eastAsia="ar-SA"/>
        </w:rPr>
        <w:t>As many location reach near full-employment, it compounds the difficulty local businesses find in attracting skilled labour.</w:t>
      </w:r>
    </w:p>
    <w:p w:rsidR="0007226D" w:rsidRDefault="002C3D20" w:rsidP="003E347D">
      <w:pPr>
        <w:pStyle w:val="ListBullet"/>
        <w:rPr>
          <w:lang w:eastAsia="ar-SA"/>
        </w:rPr>
      </w:pPr>
      <w:r w:rsidRPr="002C3D20">
        <w:rPr>
          <w:b/>
          <w:lang w:eastAsia="ar-SA"/>
        </w:rPr>
        <w:t>Housing supply shortages and lack of affordable housing:</w:t>
      </w:r>
      <w:r>
        <w:rPr>
          <w:lang w:eastAsia="ar-SA"/>
        </w:rPr>
        <w:t xml:space="preserve"> </w:t>
      </w:r>
      <w:r w:rsidR="00C41DF2" w:rsidRPr="00800589">
        <w:rPr>
          <w:lang w:eastAsia="ar-SA"/>
        </w:rPr>
        <w:t>W</w:t>
      </w:r>
      <w:r w:rsidR="00C41DF2" w:rsidRPr="0010479C">
        <w:rPr>
          <w:lang w:eastAsia="ar-SA"/>
        </w:rPr>
        <w:t xml:space="preserve">ith high </w:t>
      </w:r>
      <w:r w:rsidR="00C41DF2">
        <w:rPr>
          <w:lang w:eastAsia="ar-SA"/>
        </w:rPr>
        <w:t xml:space="preserve">levels of labour market participation </w:t>
      </w:r>
      <w:r w:rsidR="00C41DF2" w:rsidRPr="0010479C">
        <w:rPr>
          <w:lang w:eastAsia="ar-SA"/>
        </w:rPr>
        <w:t>we are nearing full employment</w:t>
      </w:r>
      <w:r w:rsidR="00C41DF2">
        <w:rPr>
          <w:lang w:eastAsia="ar-SA"/>
        </w:rPr>
        <w:t xml:space="preserve">. Without population growth, our economic growth will be constrained. </w:t>
      </w:r>
      <w:r>
        <w:rPr>
          <w:lang w:eastAsia="ar-SA"/>
        </w:rPr>
        <w:t>T</w:t>
      </w:r>
      <w:r w:rsidR="00107E2B" w:rsidRPr="0010479C">
        <w:rPr>
          <w:lang w:eastAsia="ar-SA"/>
        </w:rPr>
        <w:t xml:space="preserve">o </w:t>
      </w:r>
      <w:r w:rsidR="005E496F">
        <w:rPr>
          <w:lang w:eastAsia="ar-SA"/>
        </w:rPr>
        <w:t xml:space="preserve">serve </w:t>
      </w:r>
      <w:r w:rsidR="00107E2B" w:rsidRPr="0010479C">
        <w:rPr>
          <w:lang w:eastAsia="ar-SA"/>
        </w:rPr>
        <w:t xml:space="preserve">the huge potential increases in employment and </w:t>
      </w:r>
      <w:r w:rsidR="005E496F">
        <w:rPr>
          <w:lang w:eastAsia="ar-SA"/>
        </w:rPr>
        <w:t xml:space="preserve">natural </w:t>
      </w:r>
      <w:r w:rsidR="00107E2B" w:rsidRPr="0010479C">
        <w:rPr>
          <w:lang w:eastAsia="ar-SA"/>
        </w:rPr>
        <w:t xml:space="preserve">population growth, we will need to considerably increase the rate of </w:t>
      </w:r>
      <w:r w:rsidR="005E496F">
        <w:rPr>
          <w:lang w:eastAsia="ar-SA"/>
        </w:rPr>
        <w:t>housing delivery</w:t>
      </w:r>
      <w:r w:rsidR="00241F8C">
        <w:rPr>
          <w:lang w:eastAsia="ar-SA"/>
        </w:rPr>
        <w:t xml:space="preserve">, with appropriate housing mix for both sale and </w:t>
      </w:r>
      <w:r w:rsidR="005B4C9D">
        <w:rPr>
          <w:lang w:eastAsia="ar-SA"/>
        </w:rPr>
        <w:t>rent</w:t>
      </w:r>
      <w:r w:rsidR="00286C6A">
        <w:rPr>
          <w:lang w:eastAsia="ar-SA"/>
        </w:rPr>
        <w:t xml:space="preserve">, </w:t>
      </w:r>
      <w:proofErr w:type="gramStart"/>
      <w:r w:rsidR="00286C6A">
        <w:rPr>
          <w:lang w:eastAsia="ar-SA"/>
        </w:rPr>
        <w:t xml:space="preserve">including </w:t>
      </w:r>
      <w:r w:rsidR="00241F8C">
        <w:rPr>
          <w:lang w:eastAsia="ar-SA"/>
        </w:rPr>
        <w:t xml:space="preserve"> the</w:t>
      </w:r>
      <w:proofErr w:type="gramEnd"/>
      <w:r w:rsidR="00241F8C">
        <w:rPr>
          <w:lang w:eastAsia="ar-SA"/>
        </w:rPr>
        <w:t xml:space="preserve"> private rented sector</w:t>
      </w:r>
      <w:r w:rsidR="00107E2B" w:rsidRPr="0010479C">
        <w:rPr>
          <w:lang w:eastAsia="ar-SA"/>
        </w:rPr>
        <w:t xml:space="preserve">. </w:t>
      </w:r>
      <w:r w:rsidR="00E102B2">
        <w:rPr>
          <w:lang w:eastAsia="ar-SA"/>
        </w:rPr>
        <w:t>Despite several of the corridor’s largest urban areas being constrained by their administrative boundaries</w:t>
      </w:r>
      <w:r w:rsidR="00C41DF2">
        <w:rPr>
          <w:lang w:eastAsia="ar-SA"/>
        </w:rPr>
        <w:t>,</w:t>
      </w:r>
      <w:r w:rsidR="00E102B2">
        <w:rPr>
          <w:lang w:eastAsia="ar-SA"/>
        </w:rPr>
        <w:t xml:space="preserve"> there is strong local and political will and ambition for </w:t>
      </w:r>
      <w:r w:rsidR="00C41DF2">
        <w:rPr>
          <w:lang w:eastAsia="ar-SA"/>
        </w:rPr>
        <w:t xml:space="preserve">housing </w:t>
      </w:r>
      <w:r w:rsidR="00E102B2">
        <w:rPr>
          <w:lang w:eastAsia="ar-SA"/>
        </w:rPr>
        <w:t xml:space="preserve">growth. </w:t>
      </w:r>
      <w:r w:rsidR="00107E2B" w:rsidRPr="0010479C">
        <w:rPr>
          <w:lang w:eastAsia="ar-SA"/>
        </w:rPr>
        <w:t xml:space="preserve">The relatively low increases in housing completions compared to the growing demand means that affordability is </w:t>
      </w:r>
      <w:r w:rsidR="00C41DF2">
        <w:rPr>
          <w:lang w:eastAsia="ar-SA"/>
        </w:rPr>
        <w:t xml:space="preserve">increasingly a problem </w:t>
      </w:r>
      <w:r w:rsidR="00107E2B" w:rsidRPr="0010479C">
        <w:rPr>
          <w:lang w:eastAsia="ar-SA"/>
        </w:rPr>
        <w:t xml:space="preserve">– </w:t>
      </w:r>
      <w:r w:rsidR="00241F8C">
        <w:rPr>
          <w:lang w:eastAsia="ar-SA"/>
        </w:rPr>
        <w:t xml:space="preserve">five out of our six Local Enterprise Partnership areas and </w:t>
      </w:r>
      <w:r w:rsidR="00107E2B" w:rsidRPr="0010479C">
        <w:rPr>
          <w:lang w:eastAsia="ar-SA"/>
        </w:rPr>
        <w:t>three-quarters of all our districts and boroughs have higher average house price to average earnings ratios than the national average of 7.5</w:t>
      </w:r>
      <w:r>
        <w:rPr>
          <w:lang w:eastAsia="ar-SA"/>
        </w:rPr>
        <w:t xml:space="preserve"> (see Figure 3)</w:t>
      </w:r>
      <w:r w:rsidR="00706154">
        <w:rPr>
          <w:rStyle w:val="EndnoteReference"/>
          <w:lang w:eastAsia="ar-SA"/>
        </w:rPr>
        <w:endnoteReference w:id="13"/>
      </w:r>
      <w:r w:rsidR="00107E2B" w:rsidRPr="0010479C">
        <w:rPr>
          <w:lang w:eastAsia="ar-SA"/>
        </w:rPr>
        <w:t>.</w:t>
      </w:r>
      <w:r w:rsidR="00D8167D" w:rsidRPr="00D8167D">
        <w:rPr>
          <w:lang w:eastAsia="ar-SA"/>
        </w:rPr>
        <w:t xml:space="preserve"> </w:t>
      </w:r>
      <w:r w:rsidR="00D8167D">
        <w:rPr>
          <w:lang w:eastAsia="ar-SA"/>
        </w:rPr>
        <w:t>We need to promote delivery of homes of the right quality and mix to meet the future needs of a growing and ageing population</w:t>
      </w:r>
      <w:r w:rsidR="0007226D" w:rsidRPr="0010479C">
        <w:rPr>
          <w:lang w:eastAsia="ar-SA"/>
        </w:rPr>
        <w:t>.</w:t>
      </w:r>
    </w:p>
    <w:p w:rsidR="002C3D20" w:rsidRPr="0010479C" w:rsidRDefault="002C3D20" w:rsidP="002C3D20">
      <w:pPr>
        <w:pStyle w:val="Caption"/>
        <w:tabs>
          <w:tab w:val="clear" w:pos="1134"/>
        </w:tabs>
        <w:ind w:left="426"/>
        <w:rPr>
          <w:lang w:eastAsia="ar-SA"/>
        </w:rPr>
      </w:pPr>
      <w:r>
        <w:rPr>
          <w:lang w:eastAsia="ar-SA"/>
        </w:rPr>
        <w:t xml:space="preserve">Figure </w:t>
      </w:r>
      <w:r>
        <w:rPr>
          <w:lang w:eastAsia="ar-SA"/>
        </w:rPr>
        <w:fldChar w:fldCharType="begin"/>
      </w:r>
      <w:r>
        <w:rPr>
          <w:lang w:eastAsia="ar-SA"/>
        </w:rPr>
        <w:instrText xml:space="preserve"> SEQ Figure \* ARABIC \* MERGEFORMAT </w:instrText>
      </w:r>
      <w:r>
        <w:rPr>
          <w:lang w:eastAsia="ar-SA"/>
        </w:rPr>
        <w:fldChar w:fldCharType="separate"/>
      </w:r>
      <w:r w:rsidR="004B6CCD">
        <w:rPr>
          <w:noProof/>
          <w:lang w:eastAsia="ar-SA"/>
        </w:rPr>
        <w:t>3</w:t>
      </w:r>
      <w:r>
        <w:rPr>
          <w:lang w:eastAsia="ar-SA"/>
        </w:rPr>
        <w:fldChar w:fldCharType="end"/>
      </w:r>
      <w:r>
        <w:rPr>
          <w:lang w:eastAsia="ar-SA"/>
        </w:rPr>
        <w:t xml:space="preserve">: </w:t>
      </w:r>
      <w:r w:rsidR="00241F8C">
        <w:rPr>
          <w:lang w:eastAsia="ar-SA"/>
        </w:rPr>
        <w:t>Ratio of Median House Price to Median Household Earnings by Local Enterprise Partnership 2004 – 2015)</w:t>
      </w:r>
    </w:p>
    <w:p w:rsidR="002C3D20" w:rsidRDefault="002C3D20" w:rsidP="002C3D20">
      <w:pPr>
        <w:spacing w:before="140" w:after="140" w:line="280" w:lineRule="atLeast"/>
        <w:ind w:left="426"/>
        <w:rPr>
          <w:color w:val="404040" w:themeColor="text1" w:themeTint="BF"/>
          <w:lang w:eastAsia="ar-SA"/>
        </w:rPr>
      </w:pPr>
      <w:r w:rsidRPr="002C3D20">
        <w:rPr>
          <w:noProof/>
          <w:lang w:eastAsia="en-GB"/>
        </w:rPr>
        <w:drawing>
          <wp:inline distT="0" distB="0" distL="0" distR="0" wp14:anchorId="59ACC92D" wp14:editId="54AEAC52">
            <wp:extent cx="5485084" cy="3364302"/>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1885" cy="3362340"/>
                    </a:xfrm>
                    <a:prstGeom prst="rect">
                      <a:avLst/>
                    </a:prstGeom>
                  </pic:spPr>
                </pic:pic>
              </a:graphicData>
            </a:graphic>
          </wp:inline>
        </w:drawing>
      </w:r>
    </w:p>
    <w:p w:rsidR="00A700E7" w:rsidRPr="0010479C" w:rsidRDefault="00A700E7" w:rsidP="00A700E7">
      <w:pPr>
        <w:pStyle w:val="ListBullet"/>
        <w:rPr>
          <w:lang w:eastAsia="ar-SA"/>
        </w:rPr>
      </w:pPr>
      <w:r w:rsidRPr="002C3D20">
        <w:rPr>
          <w:noProof/>
          <w:lang w:eastAsia="en-GB"/>
        </w:rPr>
        <mc:AlternateContent>
          <mc:Choice Requires="wps">
            <w:drawing>
              <wp:anchor distT="0" distB="0" distL="114300" distR="114300" simplePos="0" relativeHeight="251661312" behindDoc="0" locked="0" layoutInCell="1" allowOverlap="1" wp14:anchorId="5353C1A7" wp14:editId="4F39176E">
                <wp:simplePos x="0" y="0"/>
                <wp:positionH relativeFrom="column">
                  <wp:posOffset>255181</wp:posOffset>
                </wp:positionH>
                <wp:positionV relativeFrom="paragraph">
                  <wp:posOffset>1350484</wp:posOffset>
                </wp:positionV>
                <wp:extent cx="5537200" cy="3657600"/>
                <wp:effectExtent l="0" t="0" r="254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657600"/>
                        </a:xfrm>
                        <a:prstGeom prst="rect">
                          <a:avLst/>
                        </a:prstGeom>
                        <a:solidFill>
                          <a:srgbClr val="FFFFFF"/>
                        </a:solidFill>
                        <a:ln w="9525">
                          <a:solidFill>
                            <a:srgbClr val="000000"/>
                          </a:solidFill>
                          <a:miter lim="800000"/>
                          <a:headEnd/>
                          <a:tailEnd/>
                        </a:ln>
                      </wps:spPr>
                      <wps:txbx>
                        <w:txbxContent>
                          <w:p w:rsidR="003D045B" w:rsidRPr="0034711D" w:rsidRDefault="003D045B" w:rsidP="00A700E7">
                            <w:pPr>
                              <w:pStyle w:val="Heading3"/>
                              <w:ind w:left="142" w:hanging="142"/>
                              <w:rPr>
                                <w:lang w:eastAsia="ar-SA"/>
                              </w:rPr>
                            </w:pPr>
                            <w:r w:rsidRPr="0034711D">
                              <w:rPr>
                                <w:sz w:val="32"/>
                                <w:lang w:eastAsia="ar-SA"/>
                              </w:rPr>
                              <w:tab/>
                            </w:r>
                            <w:r w:rsidRPr="0034711D">
                              <w:rPr>
                                <w:lang w:eastAsia="ar-SA"/>
                              </w:rPr>
                              <w:t>Corridor Connectivity – Journey Speeds</w:t>
                            </w:r>
                          </w:p>
                          <w:p w:rsidR="003D045B" w:rsidRPr="0034711D" w:rsidRDefault="003D045B" w:rsidP="00A700E7">
                            <w:pPr>
                              <w:ind w:left="142"/>
                            </w:pPr>
                            <w:r w:rsidRPr="0034711D">
                              <w:t xml:space="preserve">A useful comparator for the road and rail connectivity in the Cambridge – Milton Keynes – Oxford Growth Corridor is the Thames Valley, which has the M4 and Great Western Mainline as its transport spine. </w:t>
                            </w:r>
                          </w:p>
                          <w:p w:rsidR="003D045B" w:rsidRPr="0034711D" w:rsidRDefault="003D045B" w:rsidP="00A700E7">
                            <w:pPr>
                              <w:ind w:left="142"/>
                            </w:pPr>
                            <w:r w:rsidRPr="0034711D">
                              <w:t>Average speeds on journeys between the key economic centres along the Cambridge – Milton Keynes – Oxford corridor are between 35 and 51 miles per hour by road. In comparison, journeys along the Thames Valley / M4 corridor (with the exception of journeys involving London) typically have speeds of between 50 and 61 miles per hour.</w:t>
                            </w:r>
                          </w:p>
                          <w:p w:rsidR="003D045B" w:rsidRPr="0034711D" w:rsidRDefault="003D045B" w:rsidP="00A700E7">
                            <w:pPr>
                              <w:ind w:left="142"/>
                            </w:pPr>
                            <w:r w:rsidRPr="0034711D">
                              <w:t>Rail journeys between Cambridge, Milton Keynes and Oxford are slow requiring a change either in London or a sub national hub. In comparison, journeys between London, Reading, Bristol and Swindon provide faster speed across similar distance with speeds of between 69 and 84 miles per hour.</w:t>
                            </w:r>
                          </w:p>
                          <w:p w:rsidR="003D045B" w:rsidRPr="0034711D" w:rsidRDefault="003D045B" w:rsidP="00A700E7">
                            <w:pPr>
                              <w:ind w:left="142"/>
                            </w:pPr>
                            <w:r w:rsidRPr="0034711D">
                              <w:t>The connectivity in the Thames Valley corridor with the M4 and Great Western Mainline attracts very high productivity, knowledge intensive industries and also facilitates significant agglomeration benefits. This has contributed to Thames Valley Berkshire Local Enterprise Partnership having a GVA per capita of 174% of the English average, the highest of any single Local Enterprise Partnerships outside of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1pt;margin-top:106.35pt;width:436pt;height:4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">
                <v:textbox>
                  <w:txbxContent>
                    <w:p w:rsidR="003D045B" w:rsidRPr="0034711D" w:rsidRDefault="003D045B" w:rsidP="00A700E7">
                      <w:pPr>
                        <w:pStyle w:val="Heading3"/>
                        <w:ind w:left="142" w:hanging="142"/>
                        <w:rPr>
                          <w:lang w:eastAsia="ar-SA"/>
                        </w:rPr>
                      </w:pPr>
                      <w:r w:rsidRPr="0034711D">
                        <w:rPr>
                          <w:sz w:val="32"/>
                          <w:lang w:eastAsia="ar-SA"/>
                        </w:rPr>
                        <w:tab/>
                      </w:r>
                      <w:r w:rsidRPr="0034711D">
                        <w:rPr>
                          <w:lang w:eastAsia="ar-SA"/>
                        </w:rPr>
                        <w:t>Corridor Connectivity – Journey Speeds</w:t>
                      </w:r>
                    </w:p>
                    <w:p w:rsidR="003D045B" w:rsidRPr="0034711D" w:rsidRDefault="003D045B" w:rsidP="00A700E7">
                      <w:pPr>
                        <w:ind w:left="142"/>
                      </w:pPr>
                      <w:r w:rsidRPr="0034711D">
                        <w:t xml:space="preserve">A useful comparator for the road and rail connectivity in the Cambridge – Milton Keynes – Oxford Growth Corridor is the Thames Valley, which has the M4 and Great Western Mainline as its transport spine. </w:t>
                      </w:r>
                    </w:p>
                    <w:p w:rsidR="003D045B" w:rsidRPr="0034711D" w:rsidRDefault="003D045B" w:rsidP="00A700E7">
                      <w:pPr>
                        <w:ind w:left="142"/>
                      </w:pPr>
                      <w:r w:rsidRPr="0034711D">
                        <w:t>Average speeds on journeys between the key economic centres along the Cambridge – Milton Keynes – Oxford corridor are between 35 and 51 miles per hour by road. In comparison, journeys along the Thames Valley / M4 corridor (with the exception of journeys involving London) typically have speeds of between 50 and 61 miles per hour.</w:t>
                      </w:r>
                    </w:p>
                    <w:p w:rsidR="003D045B" w:rsidRPr="0034711D" w:rsidRDefault="003D045B" w:rsidP="00A700E7">
                      <w:pPr>
                        <w:ind w:left="142"/>
                      </w:pPr>
                      <w:r w:rsidRPr="0034711D">
                        <w:t>Rail journeys between Cambridge, Milton Keynes and Oxford are slow requiring a change either in London or a sub national hub. In comparison, journeys between London, Reading, Bristol and Swindon provide faster speed across similar distance with speeds of between 69 and 84 miles per hour.</w:t>
                      </w:r>
                    </w:p>
                    <w:p w:rsidR="003D045B" w:rsidRPr="0034711D" w:rsidRDefault="003D045B" w:rsidP="00A700E7">
                      <w:pPr>
                        <w:ind w:left="142"/>
                      </w:pPr>
                      <w:r w:rsidRPr="0034711D">
                        <w:t>The connectivity in the Thames Valley corridor with the M4 and Great Western Mainline attracts very high productivity, knowledge intensive industries and also facilitates significant agglomeration benefits. This has contributed to Thames Valley Berkshire Local Enterprise Partnership having a GVA per capita of 174% of the English average, the highest of any single Local Enterprise Partnerships outside of London.</w:t>
                      </w:r>
                    </w:p>
                  </w:txbxContent>
                </v:textbox>
              </v:shape>
            </w:pict>
          </mc:Fallback>
        </mc:AlternateContent>
      </w:r>
      <w:r w:rsidRPr="002C3D20">
        <w:rPr>
          <w:b/>
          <w:lang w:eastAsia="ar-SA"/>
        </w:rPr>
        <w:t xml:space="preserve">Difficulty in </w:t>
      </w:r>
      <w:r>
        <w:rPr>
          <w:b/>
          <w:lang w:eastAsia="ar-SA"/>
        </w:rPr>
        <w:t xml:space="preserve">connecting to </w:t>
      </w:r>
      <w:r w:rsidR="003D045B">
        <w:rPr>
          <w:b/>
          <w:lang w:eastAsia="ar-SA"/>
        </w:rPr>
        <w:t xml:space="preserve">wider </w:t>
      </w:r>
      <w:r w:rsidRPr="002C3D20">
        <w:rPr>
          <w:b/>
          <w:lang w:eastAsia="ar-SA"/>
        </w:rPr>
        <w:t xml:space="preserve">labour and business markets: </w:t>
      </w:r>
      <w:r>
        <w:rPr>
          <w:lang w:eastAsia="ar-SA"/>
        </w:rPr>
        <w:t>T</w:t>
      </w:r>
      <w:r w:rsidRPr="0010479C">
        <w:rPr>
          <w:lang w:eastAsia="ar-SA"/>
        </w:rPr>
        <w:t>ravel times to London may be quick</w:t>
      </w:r>
      <w:r>
        <w:rPr>
          <w:lang w:eastAsia="ar-SA"/>
        </w:rPr>
        <w:t xml:space="preserve"> but are capacity constrained and subject to delays and uncertainty over journey times. Inter-urban </w:t>
      </w:r>
      <w:r w:rsidRPr="0010479C">
        <w:rPr>
          <w:lang w:eastAsia="ar-SA"/>
        </w:rPr>
        <w:t xml:space="preserve">travel times between </w:t>
      </w:r>
      <w:r>
        <w:rPr>
          <w:lang w:eastAsia="ar-SA"/>
        </w:rPr>
        <w:t xml:space="preserve">the </w:t>
      </w:r>
      <w:r w:rsidRPr="0010479C">
        <w:rPr>
          <w:lang w:eastAsia="ar-SA"/>
        </w:rPr>
        <w:t>largest urban areas</w:t>
      </w:r>
      <w:r>
        <w:rPr>
          <w:lang w:eastAsia="ar-SA"/>
        </w:rPr>
        <w:t xml:space="preserve"> in the corridor</w:t>
      </w:r>
      <w:r w:rsidRPr="0010479C">
        <w:rPr>
          <w:lang w:eastAsia="ar-SA"/>
        </w:rPr>
        <w:t>, particularly by public transport</w:t>
      </w:r>
      <w:r>
        <w:rPr>
          <w:lang w:eastAsia="ar-SA"/>
        </w:rPr>
        <w:t>,</w:t>
      </w:r>
      <w:r w:rsidRPr="0010479C">
        <w:rPr>
          <w:lang w:eastAsia="ar-SA"/>
        </w:rPr>
        <w:t xml:space="preserve"> </w:t>
      </w:r>
      <w:r>
        <w:rPr>
          <w:lang w:eastAsia="ar-SA"/>
        </w:rPr>
        <w:t xml:space="preserve">are slow and </w:t>
      </w:r>
      <w:r w:rsidRPr="0010479C">
        <w:rPr>
          <w:lang w:eastAsia="ar-SA"/>
        </w:rPr>
        <w:t>can take considerably longer than an hour</w:t>
      </w:r>
      <w:r>
        <w:rPr>
          <w:lang w:eastAsia="ar-SA"/>
        </w:rPr>
        <w:t>. The best rail route is often via London. Together these factors constrain growth</w:t>
      </w:r>
      <w:r w:rsidR="00FE4F68">
        <w:rPr>
          <w:rStyle w:val="EndnoteReference"/>
          <w:lang w:eastAsia="ar-SA"/>
        </w:rPr>
        <w:endnoteReference w:id="14"/>
      </w:r>
      <w:r>
        <w:rPr>
          <w:lang w:eastAsia="ar-SA"/>
        </w:rPr>
        <w:t>. East West Rail and main line connections for interchange have the potential to form a public transport grid network significantly improving connectivity to other major centres of growth and port.</w:t>
      </w:r>
    </w:p>
    <w:p w:rsidR="00A700E7" w:rsidRDefault="00A700E7" w:rsidP="00A700E7">
      <w:pPr>
        <w:spacing w:before="140" w:after="140" w:line="280" w:lineRule="atLeast"/>
        <w:rPr>
          <w:color w:val="404040" w:themeColor="text1" w:themeTint="BF"/>
          <w:lang w:eastAsia="ar-SA"/>
        </w:rPr>
      </w:pPr>
      <w:r>
        <w:rPr>
          <w:lang w:eastAsia="ar-SA"/>
        </w:rPr>
        <w:br w:type="page"/>
      </w:r>
    </w:p>
    <w:p w:rsidR="00E32CD2" w:rsidRDefault="0007226D" w:rsidP="00A700E7">
      <w:pPr>
        <w:pStyle w:val="ListBullet"/>
        <w:spacing w:before="100" w:after="100" w:line="252" w:lineRule="auto"/>
        <w:rPr>
          <w:lang w:eastAsia="ar-SA"/>
        </w:rPr>
      </w:pPr>
      <w:r w:rsidRPr="002C3D20">
        <w:rPr>
          <w:b/>
          <w:lang w:eastAsia="ar-SA"/>
        </w:rPr>
        <w:t>C</w:t>
      </w:r>
      <w:r w:rsidR="00A17920" w:rsidRPr="002C3D20">
        <w:rPr>
          <w:b/>
          <w:lang w:eastAsia="ar-SA"/>
        </w:rPr>
        <w:t>ommercial viability issues</w:t>
      </w:r>
      <w:r w:rsidRPr="002C3D20">
        <w:rPr>
          <w:b/>
          <w:lang w:eastAsia="ar-SA"/>
        </w:rPr>
        <w:t>,</w:t>
      </w:r>
      <w:r w:rsidR="00A17920" w:rsidRPr="002C3D20">
        <w:rPr>
          <w:b/>
          <w:lang w:eastAsia="ar-SA"/>
        </w:rPr>
        <w:t xml:space="preserve"> particularly </w:t>
      </w:r>
      <w:r w:rsidRPr="002C3D20">
        <w:rPr>
          <w:b/>
          <w:lang w:eastAsia="ar-SA"/>
        </w:rPr>
        <w:t xml:space="preserve">for employment </w:t>
      </w:r>
      <w:r w:rsidR="005E496F" w:rsidRPr="002C3D20">
        <w:rPr>
          <w:b/>
          <w:lang w:eastAsia="ar-SA"/>
        </w:rPr>
        <w:t xml:space="preserve">and </w:t>
      </w:r>
      <w:r w:rsidR="00DB1CB6" w:rsidRPr="002C3D20">
        <w:rPr>
          <w:b/>
          <w:lang w:eastAsia="ar-SA"/>
        </w:rPr>
        <w:t>strategic sites for housing outside the area under the direct influence of London</w:t>
      </w:r>
      <w:r w:rsidR="002C3D20" w:rsidRPr="002C3D20">
        <w:rPr>
          <w:b/>
          <w:lang w:eastAsia="ar-SA"/>
        </w:rPr>
        <w:t>:</w:t>
      </w:r>
      <w:r w:rsidR="00DB1CB6" w:rsidRPr="002C3D20">
        <w:rPr>
          <w:b/>
          <w:lang w:eastAsia="ar-SA"/>
        </w:rPr>
        <w:t xml:space="preserve"> </w:t>
      </w:r>
      <w:r w:rsidR="00DB1CB6">
        <w:rPr>
          <w:lang w:eastAsia="ar-SA"/>
        </w:rPr>
        <w:t xml:space="preserve">The key issues are the need for </w:t>
      </w:r>
      <w:r w:rsidR="00A17920" w:rsidRPr="0010479C">
        <w:rPr>
          <w:lang w:eastAsia="ar-SA"/>
        </w:rPr>
        <w:t>‘fo</w:t>
      </w:r>
      <w:r w:rsidR="00DB1CB6">
        <w:rPr>
          <w:lang w:eastAsia="ar-SA"/>
        </w:rPr>
        <w:t>rward funding’ of road capacity</w:t>
      </w:r>
      <w:r w:rsidR="006D4BD5">
        <w:rPr>
          <w:lang w:eastAsia="ar-SA"/>
        </w:rPr>
        <w:t xml:space="preserve">, </w:t>
      </w:r>
      <w:r w:rsidR="00DB1CB6">
        <w:rPr>
          <w:lang w:eastAsia="ar-SA"/>
        </w:rPr>
        <w:t xml:space="preserve">access </w:t>
      </w:r>
      <w:r w:rsidR="00A17920" w:rsidRPr="0010479C">
        <w:rPr>
          <w:lang w:eastAsia="ar-SA"/>
        </w:rPr>
        <w:t>enhancements</w:t>
      </w:r>
      <w:r w:rsidR="00DB1CB6">
        <w:rPr>
          <w:lang w:eastAsia="ar-SA"/>
        </w:rPr>
        <w:t>,</w:t>
      </w:r>
      <w:r w:rsidR="00A17920" w:rsidRPr="0010479C">
        <w:rPr>
          <w:lang w:eastAsia="ar-SA"/>
        </w:rPr>
        <w:t xml:space="preserve"> and </w:t>
      </w:r>
      <w:r w:rsidRPr="0010479C">
        <w:rPr>
          <w:lang w:eastAsia="ar-SA"/>
        </w:rPr>
        <w:t>utilities</w:t>
      </w:r>
      <w:r w:rsidR="00DB1CB6">
        <w:rPr>
          <w:lang w:eastAsia="ar-SA"/>
        </w:rPr>
        <w:t>,</w:t>
      </w:r>
      <w:r w:rsidRPr="0010479C">
        <w:rPr>
          <w:lang w:eastAsia="ar-SA"/>
        </w:rPr>
        <w:t xml:space="preserve"> </w:t>
      </w:r>
      <w:r w:rsidR="00A17920" w:rsidRPr="0010479C">
        <w:rPr>
          <w:lang w:eastAsia="ar-SA"/>
        </w:rPr>
        <w:t>especially electricity</w:t>
      </w:r>
      <w:r w:rsidR="006D4BD5">
        <w:rPr>
          <w:lang w:eastAsia="ar-SA"/>
        </w:rPr>
        <w:t>. There is a ne</w:t>
      </w:r>
      <w:r w:rsidR="00E32CD2">
        <w:rPr>
          <w:lang w:eastAsia="ar-SA"/>
        </w:rPr>
        <w:t xml:space="preserve">ed to address these </w:t>
      </w:r>
      <w:r w:rsidR="00E32CD2" w:rsidRPr="004362EE">
        <w:rPr>
          <w:lang w:eastAsia="ar-SA"/>
        </w:rPr>
        <w:t xml:space="preserve">issues </w:t>
      </w:r>
      <w:r w:rsidR="00E32CD2">
        <w:rPr>
          <w:lang w:eastAsia="ar-SA"/>
        </w:rPr>
        <w:t>in partnership with developers and the Homes and Communities Agency.</w:t>
      </w:r>
      <w:r w:rsidR="006D4BD5">
        <w:rPr>
          <w:lang w:eastAsia="ar-SA"/>
        </w:rPr>
        <w:t xml:space="preserve"> With regard to utilities, there is a need to work with </w:t>
      </w:r>
      <w:r w:rsidR="006D4BD5" w:rsidRPr="0010479C">
        <w:rPr>
          <w:lang w:eastAsia="ar-SA"/>
        </w:rPr>
        <w:t xml:space="preserve">utility companies </w:t>
      </w:r>
      <w:r w:rsidR="006D4BD5">
        <w:rPr>
          <w:lang w:eastAsia="ar-SA"/>
        </w:rPr>
        <w:t xml:space="preserve">and regulators to forward plan, but also address the issue that utility companies are </w:t>
      </w:r>
      <w:r w:rsidR="006D4BD5" w:rsidRPr="0010479C">
        <w:rPr>
          <w:lang w:eastAsia="ar-SA"/>
        </w:rPr>
        <w:t xml:space="preserve">not obliged to serve new developments </w:t>
      </w:r>
      <w:r w:rsidR="00C41DF2">
        <w:rPr>
          <w:lang w:eastAsia="ar-SA"/>
        </w:rPr>
        <w:t>in advance of them coming on stream</w:t>
      </w:r>
      <w:r w:rsidR="006D4BD5" w:rsidRPr="0010479C">
        <w:rPr>
          <w:lang w:eastAsia="ar-SA"/>
        </w:rPr>
        <w:t>.</w:t>
      </w:r>
    </w:p>
    <w:p w:rsidR="00DC12BE" w:rsidRDefault="00A17920" w:rsidP="00A700E7">
      <w:pPr>
        <w:pStyle w:val="ListBullet"/>
        <w:spacing w:before="100" w:after="100" w:line="252" w:lineRule="auto"/>
        <w:rPr>
          <w:lang w:eastAsia="ar-SA"/>
        </w:rPr>
      </w:pPr>
      <w:r w:rsidRPr="002C3D20">
        <w:rPr>
          <w:b/>
          <w:lang w:eastAsia="ar-SA"/>
        </w:rPr>
        <w:t>Lack of joined up planning and investment for wider public services</w:t>
      </w:r>
      <w:r w:rsidR="002C3D20" w:rsidRPr="002C3D20">
        <w:rPr>
          <w:b/>
          <w:lang w:eastAsia="ar-SA"/>
        </w:rPr>
        <w:t>:</w:t>
      </w:r>
      <w:r w:rsidR="002C3D20">
        <w:rPr>
          <w:lang w:eastAsia="ar-SA"/>
        </w:rPr>
        <w:t xml:space="preserve"> Areas that support high growth need to be supported by central government with investment in key public services </w:t>
      </w:r>
      <w:r w:rsidR="002C3D20" w:rsidRPr="0010479C">
        <w:rPr>
          <w:lang w:eastAsia="ar-SA"/>
        </w:rPr>
        <w:t xml:space="preserve"> </w:t>
      </w:r>
      <w:r w:rsidR="002C3D20">
        <w:rPr>
          <w:lang w:eastAsia="ar-SA"/>
        </w:rPr>
        <w:t xml:space="preserve">(e.g. </w:t>
      </w:r>
      <w:r w:rsidR="002C3D20" w:rsidRPr="0010479C">
        <w:rPr>
          <w:lang w:eastAsia="ar-SA"/>
        </w:rPr>
        <w:t xml:space="preserve">schools, </w:t>
      </w:r>
      <w:r w:rsidR="002C3D20">
        <w:rPr>
          <w:lang w:eastAsia="ar-SA"/>
        </w:rPr>
        <w:t xml:space="preserve">further education, </w:t>
      </w:r>
      <w:r w:rsidR="002C3D20" w:rsidRPr="0010479C">
        <w:rPr>
          <w:lang w:eastAsia="ar-SA"/>
        </w:rPr>
        <w:t>care services, hospitals, local bus / mobility services</w:t>
      </w:r>
      <w:r w:rsidR="002C3D20">
        <w:rPr>
          <w:lang w:eastAsia="ar-SA"/>
        </w:rPr>
        <w:t xml:space="preserve">, waste) to </w:t>
      </w:r>
      <w:r w:rsidR="00286C6A">
        <w:rPr>
          <w:lang w:eastAsia="ar-SA"/>
        </w:rPr>
        <w:t xml:space="preserve">provide quality services that </w:t>
      </w:r>
      <w:r w:rsidR="002C3D20">
        <w:rPr>
          <w:lang w:eastAsia="ar-SA"/>
        </w:rPr>
        <w:t>keep up with the pace of growth.</w:t>
      </w:r>
    </w:p>
    <w:p w:rsidR="003E347D" w:rsidRPr="004362EE" w:rsidRDefault="003E347D" w:rsidP="00A700E7">
      <w:pPr>
        <w:pStyle w:val="Heading3"/>
        <w:numPr>
          <w:ilvl w:val="0"/>
          <w:numId w:val="0"/>
        </w:numPr>
        <w:spacing w:before="100" w:after="100" w:line="252" w:lineRule="auto"/>
        <w:rPr>
          <w:lang w:eastAsia="ar-SA"/>
        </w:rPr>
      </w:pPr>
      <w:r>
        <w:rPr>
          <w:lang w:eastAsia="ar-SA"/>
        </w:rPr>
        <w:t>I</w:t>
      </w:r>
      <w:r w:rsidRPr="004362EE">
        <w:rPr>
          <w:lang w:eastAsia="ar-SA"/>
        </w:rPr>
        <w:t>n particular, what planned or new infrastructure improvements would best support sustainable growth and promote innovation over the long-term?</w:t>
      </w:r>
    </w:p>
    <w:p w:rsidR="00DA6C65" w:rsidRDefault="00DA6C65" w:rsidP="00A700E7">
      <w:pPr>
        <w:spacing w:before="100" w:after="100" w:line="252" w:lineRule="auto"/>
        <w:rPr>
          <w:lang w:eastAsia="ar-SA"/>
        </w:rPr>
      </w:pPr>
      <w:r>
        <w:rPr>
          <w:lang w:eastAsia="ar-SA"/>
        </w:rPr>
        <w:t>As already set out</w:t>
      </w:r>
      <w:r w:rsidR="00DC12BE">
        <w:rPr>
          <w:lang w:eastAsia="ar-SA"/>
        </w:rPr>
        <w:t>,</w:t>
      </w:r>
      <w:r>
        <w:rPr>
          <w:lang w:eastAsia="ar-SA"/>
        </w:rPr>
        <w:t xml:space="preserve"> all L</w:t>
      </w:r>
      <w:r w:rsidR="00B01A11">
        <w:rPr>
          <w:lang w:eastAsia="ar-SA"/>
        </w:rPr>
        <w:t xml:space="preserve">ocal Enterprise Partnerships </w:t>
      </w:r>
      <w:r>
        <w:rPr>
          <w:lang w:eastAsia="ar-SA"/>
        </w:rPr>
        <w:t>alo</w:t>
      </w:r>
      <w:r w:rsidR="00496D40">
        <w:rPr>
          <w:lang w:eastAsia="ar-SA"/>
        </w:rPr>
        <w:t>n</w:t>
      </w:r>
      <w:r>
        <w:rPr>
          <w:lang w:eastAsia="ar-SA"/>
        </w:rPr>
        <w:t xml:space="preserve">g the corridor are planning on </w:t>
      </w:r>
      <w:r w:rsidR="00D328D6">
        <w:rPr>
          <w:lang w:eastAsia="ar-SA"/>
        </w:rPr>
        <w:t xml:space="preserve">the </w:t>
      </w:r>
      <w:r>
        <w:rPr>
          <w:lang w:eastAsia="ar-SA"/>
        </w:rPr>
        <w:t>basis</w:t>
      </w:r>
      <w:r w:rsidR="00D328D6">
        <w:rPr>
          <w:lang w:eastAsia="ar-SA"/>
        </w:rPr>
        <w:t xml:space="preserve"> that East-West Rail is a committed scheme</w:t>
      </w:r>
      <w:r>
        <w:rPr>
          <w:lang w:eastAsia="ar-SA"/>
        </w:rPr>
        <w:t xml:space="preserve">. </w:t>
      </w:r>
      <w:r w:rsidR="00D328D6">
        <w:rPr>
          <w:lang w:eastAsia="ar-SA"/>
        </w:rPr>
        <w:t>E</w:t>
      </w:r>
      <w:r>
        <w:rPr>
          <w:lang w:eastAsia="ar-SA"/>
        </w:rPr>
        <w:t>nhanced road connectivity within corridor is important</w:t>
      </w:r>
      <w:r w:rsidR="00DC12BE">
        <w:rPr>
          <w:lang w:eastAsia="ar-SA"/>
        </w:rPr>
        <w:t xml:space="preserve"> through an </w:t>
      </w:r>
      <w:r w:rsidR="00B01A11">
        <w:rPr>
          <w:lang w:eastAsia="ar-SA"/>
        </w:rPr>
        <w:t>e</w:t>
      </w:r>
      <w:r w:rsidR="00DC12BE">
        <w:rPr>
          <w:lang w:eastAsia="ar-SA"/>
        </w:rPr>
        <w:t>xpressway</w:t>
      </w:r>
      <w:r>
        <w:rPr>
          <w:lang w:eastAsia="ar-SA"/>
        </w:rPr>
        <w:t>.</w:t>
      </w:r>
      <w:r w:rsidR="00DC12BE">
        <w:rPr>
          <w:lang w:eastAsia="ar-SA"/>
        </w:rPr>
        <w:t xml:space="preserve"> In addition, investment</w:t>
      </w:r>
      <w:r w:rsidR="00706154">
        <w:rPr>
          <w:lang w:eastAsia="ar-SA"/>
        </w:rPr>
        <w:t>s</w:t>
      </w:r>
      <w:r w:rsidR="00DC12BE">
        <w:rPr>
          <w:lang w:eastAsia="ar-SA"/>
        </w:rPr>
        <w:t xml:space="preserve"> in strategic local connectivity, </w:t>
      </w:r>
      <w:r w:rsidR="00286C6A">
        <w:rPr>
          <w:lang w:eastAsia="ar-SA"/>
        </w:rPr>
        <w:t xml:space="preserve">fast and reliable </w:t>
      </w:r>
      <w:r w:rsidR="00DC12BE">
        <w:rPr>
          <w:lang w:eastAsia="ar-SA"/>
        </w:rPr>
        <w:t xml:space="preserve">digital connectivity, and public services </w:t>
      </w:r>
      <w:r w:rsidR="00706154">
        <w:rPr>
          <w:lang w:eastAsia="ar-SA"/>
        </w:rPr>
        <w:t xml:space="preserve">are </w:t>
      </w:r>
      <w:r w:rsidR="00DC12BE">
        <w:rPr>
          <w:lang w:eastAsia="ar-SA"/>
        </w:rPr>
        <w:t>essential.</w:t>
      </w:r>
    </w:p>
    <w:p w:rsidR="003E347D" w:rsidRPr="00C34B31" w:rsidRDefault="003E347D" w:rsidP="00A700E7">
      <w:pPr>
        <w:pStyle w:val="Heading3"/>
        <w:spacing w:before="100" w:after="100" w:line="252" w:lineRule="auto"/>
        <w:rPr>
          <w:lang w:eastAsia="ar-SA"/>
        </w:rPr>
      </w:pPr>
      <w:r>
        <w:rPr>
          <w:lang w:eastAsia="ar-SA"/>
        </w:rPr>
        <w:t>D</w:t>
      </w:r>
      <w:r w:rsidRPr="004362EE">
        <w:rPr>
          <w:lang w:eastAsia="ar-SA"/>
        </w:rPr>
        <w:t>oes the corridor require better connectivity to other major centres of growth?</w:t>
      </w:r>
    </w:p>
    <w:p w:rsidR="004B4A8A" w:rsidRDefault="004B4A8A" w:rsidP="004B4A8A">
      <w:pPr>
        <w:spacing w:before="100" w:after="100" w:line="252" w:lineRule="auto"/>
        <w:rPr>
          <w:lang w:eastAsia="ar-SA"/>
        </w:rPr>
      </w:pPr>
      <w:r>
        <w:rPr>
          <w:lang w:eastAsia="ar-SA"/>
        </w:rPr>
        <w:t>Investment in East-West connectivity as well as in key interchanges, and ‘first mile/last mile’ connectivity will allow our transport systems to work as proper networks, providing improved connectivity to  other major centres of growth for all localities throughout the corridor.</w:t>
      </w:r>
    </w:p>
    <w:p w:rsidR="00473E58" w:rsidRDefault="004B4A8A" w:rsidP="00A700E7">
      <w:pPr>
        <w:spacing w:before="100" w:after="100" w:line="252" w:lineRule="auto"/>
        <w:rPr>
          <w:lang w:eastAsia="ar-SA"/>
        </w:rPr>
      </w:pPr>
      <w:r>
        <w:rPr>
          <w:lang w:eastAsia="ar-SA"/>
        </w:rPr>
        <w:t xml:space="preserve">Outside of the corridor, </w:t>
      </w:r>
      <w:r w:rsidR="00DA6C65">
        <w:rPr>
          <w:lang w:eastAsia="ar-SA"/>
        </w:rPr>
        <w:t>r</w:t>
      </w:r>
      <w:r w:rsidR="00473E58">
        <w:rPr>
          <w:lang w:eastAsia="ar-SA"/>
        </w:rPr>
        <w:t>ail c</w:t>
      </w:r>
      <w:r w:rsidR="00DA03A0">
        <w:rPr>
          <w:lang w:eastAsia="ar-SA"/>
        </w:rPr>
        <w:t xml:space="preserve">onnectivity improvements to London and its international airports </w:t>
      </w:r>
      <w:r w:rsidR="00473E58">
        <w:rPr>
          <w:lang w:eastAsia="ar-SA"/>
        </w:rPr>
        <w:t xml:space="preserve">are </w:t>
      </w:r>
      <w:r w:rsidR="00DA03A0">
        <w:rPr>
          <w:lang w:eastAsia="ar-SA"/>
        </w:rPr>
        <w:t>a priority. Whilst commuter services are generally fast</w:t>
      </w:r>
      <w:r w:rsidR="00DA6C65">
        <w:rPr>
          <w:lang w:eastAsia="ar-SA"/>
        </w:rPr>
        <w:t xml:space="preserve"> and</w:t>
      </w:r>
      <w:r w:rsidR="00DA03A0">
        <w:rPr>
          <w:lang w:eastAsia="ar-SA"/>
        </w:rPr>
        <w:t xml:space="preserve"> frequent</w:t>
      </w:r>
      <w:r w:rsidR="00245179">
        <w:rPr>
          <w:lang w:eastAsia="ar-SA"/>
        </w:rPr>
        <w:t xml:space="preserve">, </w:t>
      </w:r>
      <w:r w:rsidR="00DA6C65">
        <w:rPr>
          <w:lang w:eastAsia="ar-SA"/>
        </w:rPr>
        <w:t>a further knowledge-based growth will increase rail demand further. T</w:t>
      </w:r>
      <w:r w:rsidR="00245179">
        <w:rPr>
          <w:lang w:eastAsia="ar-SA"/>
        </w:rPr>
        <w:t xml:space="preserve">here are significant bottlenecks </w:t>
      </w:r>
      <w:r w:rsidR="00473E58">
        <w:rPr>
          <w:lang w:eastAsia="ar-SA"/>
        </w:rPr>
        <w:t>that constrain growth in ridership and freight movements, reliability and resilience. Without addressing these</w:t>
      </w:r>
      <w:r w:rsidR="00286C6A">
        <w:rPr>
          <w:lang w:eastAsia="ar-SA"/>
        </w:rPr>
        <w:t>,</w:t>
      </w:r>
      <w:r w:rsidR="00402A13">
        <w:rPr>
          <w:lang w:eastAsia="ar-SA"/>
        </w:rPr>
        <w:t xml:space="preserve"> </w:t>
      </w:r>
      <w:r w:rsidR="00473E58">
        <w:rPr>
          <w:lang w:eastAsia="ar-SA"/>
        </w:rPr>
        <w:t xml:space="preserve">the demand for travel and goods movement generated by higher growth </w:t>
      </w:r>
      <w:r w:rsidR="00496D40">
        <w:rPr>
          <w:lang w:eastAsia="ar-SA"/>
        </w:rPr>
        <w:t xml:space="preserve">might not be </w:t>
      </w:r>
      <w:r w:rsidR="00473E58">
        <w:rPr>
          <w:lang w:eastAsia="ar-SA"/>
        </w:rPr>
        <w:t>accommodated</w:t>
      </w:r>
      <w:r w:rsidR="00245179">
        <w:rPr>
          <w:lang w:eastAsia="ar-SA"/>
        </w:rPr>
        <w:t>.</w:t>
      </w:r>
    </w:p>
    <w:p w:rsidR="00DA03A0" w:rsidRPr="004362EE" w:rsidRDefault="00D328D6" w:rsidP="00A700E7">
      <w:pPr>
        <w:spacing w:before="100" w:after="100" w:line="252" w:lineRule="auto"/>
        <w:rPr>
          <w:lang w:eastAsia="ar-SA"/>
        </w:rPr>
      </w:pPr>
      <w:r>
        <w:rPr>
          <w:lang w:eastAsia="ar-SA"/>
        </w:rPr>
        <w:t xml:space="preserve">It is now imperative that there is an unequivocal </w:t>
      </w:r>
      <w:r w:rsidR="00473E58">
        <w:rPr>
          <w:lang w:eastAsia="ar-SA"/>
        </w:rPr>
        <w:t xml:space="preserve">decision </w:t>
      </w:r>
      <w:r>
        <w:rPr>
          <w:lang w:eastAsia="ar-SA"/>
        </w:rPr>
        <w:t xml:space="preserve">from Government </w:t>
      </w:r>
      <w:r w:rsidR="00473E58">
        <w:rPr>
          <w:lang w:eastAsia="ar-SA"/>
        </w:rPr>
        <w:t xml:space="preserve">on how </w:t>
      </w:r>
      <w:r>
        <w:rPr>
          <w:lang w:eastAsia="ar-SA"/>
        </w:rPr>
        <w:t xml:space="preserve">runway </w:t>
      </w:r>
      <w:r w:rsidR="00473E58">
        <w:rPr>
          <w:lang w:eastAsia="ar-SA"/>
        </w:rPr>
        <w:t>capacity in the South East of England will be increased.</w:t>
      </w:r>
    </w:p>
    <w:p w:rsidR="00B25948" w:rsidRDefault="004362EE" w:rsidP="00A700E7">
      <w:pPr>
        <w:pStyle w:val="Heading3"/>
        <w:spacing w:before="100" w:after="100" w:line="252" w:lineRule="auto"/>
        <w:rPr>
          <w:rFonts w:asciiTheme="minorHAnsi" w:eastAsia="Times New Roman" w:hAnsiTheme="minorHAnsi" w:cstheme="minorBidi"/>
          <w:lang w:eastAsia="ar-SA"/>
        </w:rPr>
      </w:pPr>
      <w:r>
        <w:rPr>
          <w:rFonts w:eastAsia="Times New Roman"/>
          <w:lang w:eastAsia="ar-SA"/>
        </w:rPr>
        <w:t>Q</w:t>
      </w:r>
      <w:r w:rsidR="000427A1" w:rsidRPr="004362EE">
        <w:rPr>
          <w:rFonts w:eastAsia="Times New Roman"/>
          <w:lang w:eastAsia="ar-SA"/>
        </w:rPr>
        <w:t>2. Does the Cambridge – Milton Keynes – Oxford area, including Northampton, form a recogni</w:t>
      </w:r>
      <w:r w:rsidR="00B45B9C">
        <w:rPr>
          <w:rFonts w:eastAsia="Times New Roman"/>
          <w:lang w:eastAsia="ar-SA"/>
        </w:rPr>
        <w:t>s</w:t>
      </w:r>
      <w:r w:rsidR="000427A1" w:rsidRPr="004362EE">
        <w:rPr>
          <w:rFonts w:eastAsia="Times New Roman"/>
          <w:lang w:eastAsia="ar-SA"/>
        </w:rPr>
        <w:t>able economic corridor? If</w:t>
      </w:r>
      <w:r w:rsidR="00B25948">
        <w:rPr>
          <w:rFonts w:eastAsia="Times New Roman"/>
          <w:lang w:eastAsia="ar-SA"/>
        </w:rPr>
        <w:t xml:space="preserve"> so:</w:t>
      </w:r>
    </w:p>
    <w:p w:rsidR="008F4162" w:rsidRDefault="008F4162" w:rsidP="00A700E7">
      <w:pPr>
        <w:spacing w:before="100" w:after="100" w:line="252" w:lineRule="auto"/>
        <w:rPr>
          <w:lang w:eastAsia="ar-SA"/>
        </w:rPr>
      </w:pPr>
      <w:r>
        <w:rPr>
          <w:lang w:eastAsia="ar-SA"/>
        </w:rPr>
        <w:t xml:space="preserve">Looking at current travel patterns, the corridor does not form a single travel to work area. Rather, it has a number of overlapping </w:t>
      </w:r>
      <w:proofErr w:type="gramStart"/>
      <w:r>
        <w:rPr>
          <w:lang w:eastAsia="ar-SA"/>
        </w:rPr>
        <w:t>travel</w:t>
      </w:r>
      <w:proofErr w:type="gramEnd"/>
      <w:r>
        <w:rPr>
          <w:lang w:eastAsia="ar-SA"/>
        </w:rPr>
        <w:t xml:space="preserve"> to work areas centred on Cambridge, Oxford, and Milton Keynes/Bedford/Northampton/Luton/Dunstable. </w:t>
      </w:r>
      <w:r w:rsidR="00D328D6">
        <w:rPr>
          <w:lang w:eastAsia="ar-SA"/>
        </w:rPr>
        <w:t xml:space="preserve">But to us, </w:t>
      </w:r>
      <w:r>
        <w:rPr>
          <w:lang w:eastAsia="ar-SA"/>
        </w:rPr>
        <w:t>this is the wrong question. The question should be</w:t>
      </w:r>
      <w:r w:rsidR="002461AF">
        <w:rPr>
          <w:lang w:eastAsia="ar-SA"/>
        </w:rPr>
        <w:t>,</w:t>
      </w:r>
      <w:r>
        <w:rPr>
          <w:lang w:eastAsia="ar-SA"/>
        </w:rPr>
        <w:t xml:space="preserve"> does the corridor have the potential to function more as a single Functional Economic Area and what advantages would this bring to the national economy?</w:t>
      </w:r>
    </w:p>
    <w:p w:rsidR="000427A1" w:rsidRPr="00B25948" w:rsidRDefault="00B25948" w:rsidP="00A700E7">
      <w:pPr>
        <w:pStyle w:val="Heading3"/>
        <w:spacing w:before="100" w:after="100" w:line="252" w:lineRule="auto"/>
        <w:rPr>
          <w:rFonts w:eastAsiaTheme="minorHAnsi"/>
          <w:lang w:eastAsia="ar-SA"/>
        </w:rPr>
      </w:pPr>
      <w:r>
        <w:rPr>
          <w:rFonts w:eastAsiaTheme="minorHAnsi"/>
          <w:lang w:eastAsia="ar-SA"/>
        </w:rPr>
        <w:t>W</w:t>
      </w:r>
      <w:r w:rsidR="000427A1" w:rsidRPr="00B25948">
        <w:rPr>
          <w:rFonts w:eastAsiaTheme="minorHAnsi"/>
          <w:lang w:eastAsia="ar-SA"/>
        </w:rPr>
        <w:t>hat factors unite the area?</w:t>
      </w:r>
    </w:p>
    <w:p w:rsidR="00B25948" w:rsidRPr="0010479C" w:rsidRDefault="00B25948" w:rsidP="00A700E7">
      <w:pPr>
        <w:spacing w:before="100" w:after="100" w:line="252" w:lineRule="auto"/>
        <w:rPr>
          <w:lang w:eastAsia="ar-SA"/>
        </w:rPr>
      </w:pPr>
      <w:r w:rsidRPr="0010479C">
        <w:rPr>
          <w:lang w:eastAsia="ar-SA"/>
        </w:rPr>
        <w:t xml:space="preserve">The unity of the corridor </w:t>
      </w:r>
      <w:r w:rsidR="00D631C1">
        <w:rPr>
          <w:lang w:eastAsia="ar-SA"/>
        </w:rPr>
        <w:t xml:space="preserve">is defined by </w:t>
      </w:r>
      <w:r w:rsidR="008F4162">
        <w:rPr>
          <w:lang w:eastAsia="ar-SA"/>
        </w:rPr>
        <w:t xml:space="preserve">its </w:t>
      </w:r>
      <w:r w:rsidR="005E062C">
        <w:rPr>
          <w:lang w:eastAsia="ar-SA"/>
        </w:rPr>
        <w:t xml:space="preserve">current </w:t>
      </w:r>
      <w:r w:rsidR="008F4162">
        <w:rPr>
          <w:lang w:eastAsia="ar-SA"/>
        </w:rPr>
        <w:t xml:space="preserve">characteristics, </w:t>
      </w:r>
      <w:r w:rsidR="005E062C">
        <w:rPr>
          <w:lang w:eastAsia="ar-SA"/>
        </w:rPr>
        <w:t xml:space="preserve">its </w:t>
      </w:r>
      <w:r>
        <w:rPr>
          <w:lang w:eastAsia="ar-SA"/>
        </w:rPr>
        <w:t>ambition</w:t>
      </w:r>
      <w:r w:rsidR="008F4162">
        <w:rPr>
          <w:lang w:eastAsia="ar-SA"/>
        </w:rPr>
        <w:t xml:space="preserve"> and </w:t>
      </w:r>
      <w:r w:rsidR="005E062C">
        <w:rPr>
          <w:lang w:eastAsia="ar-SA"/>
        </w:rPr>
        <w:t xml:space="preserve">its </w:t>
      </w:r>
      <w:r w:rsidR="008F4162">
        <w:rPr>
          <w:lang w:eastAsia="ar-SA"/>
        </w:rPr>
        <w:t>potential</w:t>
      </w:r>
      <w:r w:rsidRPr="0010479C">
        <w:rPr>
          <w:lang w:eastAsia="ar-SA"/>
        </w:rPr>
        <w:t>:</w:t>
      </w:r>
    </w:p>
    <w:p w:rsidR="008F4162" w:rsidRDefault="008F4162" w:rsidP="00A700E7">
      <w:pPr>
        <w:pStyle w:val="ListBullet"/>
        <w:spacing w:before="100" w:after="100" w:line="252" w:lineRule="auto"/>
        <w:rPr>
          <w:lang w:eastAsia="ar-SA"/>
        </w:rPr>
      </w:pPr>
      <w:proofErr w:type="gramStart"/>
      <w:r>
        <w:rPr>
          <w:lang w:eastAsia="ar-SA"/>
        </w:rPr>
        <w:t>Its</w:t>
      </w:r>
      <w:proofErr w:type="gramEnd"/>
      <w:r>
        <w:rPr>
          <w:lang w:eastAsia="ar-SA"/>
        </w:rPr>
        <w:t xml:space="preserve"> high performing sectors and high levels of Foreign Direct Investment</w:t>
      </w:r>
      <w:r>
        <w:rPr>
          <w:rStyle w:val="EndnoteReference"/>
          <w:lang w:eastAsia="ar-SA"/>
        </w:rPr>
        <w:endnoteReference w:id="15"/>
      </w:r>
      <w:r>
        <w:rPr>
          <w:lang w:eastAsia="ar-SA"/>
        </w:rPr>
        <w:t>.</w:t>
      </w:r>
    </w:p>
    <w:p w:rsidR="00B25948" w:rsidRPr="0010479C" w:rsidRDefault="008F4162" w:rsidP="00A700E7">
      <w:pPr>
        <w:pStyle w:val="ListBullet"/>
        <w:spacing w:before="100" w:after="100" w:line="252" w:lineRule="auto"/>
        <w:rPr>
          <w:lang w:eastAsia="ar-SA"/>
        </w:rPr>
      </w:pPr>
      <w:proofErr w:type="gramStart"/>
      <w:r>
        <w:rPr>
          <w:lang w:eastAsia="ar-SA"/>
        </w:rPr>
        <w:t>I</w:t>
      </w:r>
      <w:r w:rsidR="00B25948" w:rsidRPr="0010479C">
        <w:rPr>
          <w:lang w:eastAsia="ar-SA"/>
        </w:rPr>
        <w:t>ts</w:t>
      </w:r>
      <w:proofErr w:type="gramEnd"/>
      <w:r w:rsidR="00B25948" w:rsidRPr="0010479C">
        <w:rPr>
          <w:lang w:eastAsia="ar-SA"/>
        </w:rPr>
        <w:t xml:space="preserve"> potential for innovation- and knowledge-led growth to accelerate its role as </w:t>
      </w:r>
      <w:r w:rsidR="005E062C">
        <w:rPr>
          <w:lang w:eastAsia="ar-SA"/>
        </w:rPr>
        <w:t xml:space="preserve">a globally competitive area which has </w:t>
      </w:r>
      <w:r w:rsidR="00B25948" w:rsidRPr="0010479C">
        <w:rPr>
          <w:lang w:eastAsia="ar-SA"/>
        </w:rPr>
        <w:t>the highest productivity area in the country outside of London</w:t>
      </w:r>
      <w:r>
        <w:rPr>
          <w:lang w:eastAsia="ar-SA"/>
        </w:rPr>
        <w:t>.</w:t>
      </w:r>
    </w:p>
    <w:p w:rsidR="00B25948" w:rsidRDefault="008F4162" w:rsidP="00A700E7">
      <w:pPr>
        <w:pStyle w:val="ListBullet"/>
        <w:spacing w:before="100" w:after="100" w:line="252" w:lineRule="auto"/>
        <w:rPr>
          <w:lang w:eastAsia="ar-SA"/>
        </w:rPr>
      </w:pPr>
      <w:r>
        <w:rPr>
          <w:lang w:eastAsia="ar-SA"/>
        </w:rPr>
        <w:t>T</w:t>
      </w:r>
      <w:r w:rsidR="00B25948" w:rsidRPr="0010479C">
        <w:rPr>
          <w:lang w:eastAsia="ar-SA"/>
        </w:rPr>
        <w:t xml:space="preserve">o accommodate further employment growth to support </w:t>
      </w:r>
      <w:r>
        <w:rPr>
          <w:lang w:eastAsia="ar-SA"/>
        </w:rPr>
        <w:t>those high productivity sectors.</w:t>
      </w:r>
    </w:p>
    <w:p w:rsidR="00B25948" w:rsidRPr="0010479C" w:rsidRDefault="008F4162" w:rsidP="00A700E7">
      <w:pPr>
        <w:pStyle w:val="ListBullet"/>
        <w:spacing w:before="100" w:after="100" w:line="252" w:lineRule="auto"/>
        <w:rPr>
          <w:lang w:eastAsia="ar-SA"/>
        </w:rPr>
      </w:pPr>
      <w:r>
        <w:rPr>
          <w:lang w:eastAsia="ar-SA"/>
        </w:rPr>
        <w:t>T</w:t>
      </w:r>
      <w:r w:rsidR="00B25948">
        <w:rPr>
          <w:lang w:eastAsia="ar-SA"/>
        </w:rPr>
        <w:t xml:space="preserve">he potential to create an economic mass which can support a self-sustaining knowledge-based </w:t>
      </w:r>
      <w:r>
        <w:rPr>
          <w:lang w:eastAsia="ar-SA"/>
        </w:rPr>
        <w:t>ecosystem.</w:t>
      </w:r>
    </w:p>
    <w:p w:rsidR="008F4162" w:rsidRDefault="008F4162" w:rsidP="00A700E7">
      <w:pPr>
        <w:pStyle w:val="ListBullet"/>
        <w:spacing w:before="100" w:after="100" w:line="252" w:lineRule="auto"/>
        <w:rPr>
          <w:lang w:eastAsia="ar-SA"/>
        </w:rPr>
      </w:pPr>
      <w:r>
        <w:rPr>
          <w:lang w:eastAsia="ar-SA"/>
        </w:rPr>
        <w:t>The ability for different parts of the corridor to provide accelerated housing growth to support its productivity ‘growth poles’. For example, Milton Keynes</w:t>
      </w:r>
      <w:r w:rsidR="00D631C1">
        <w:rPr>
          <w:lang w:eastAsia="ar-SA"/>
        </w:rPr>
        <w:t xml:space="preserve"> and Bicester, </w:t>
      </w:r>
      <w:r>
        <w:rPr>
          <w:lang w:eastAsia="ar-SA"/>
        </w:rPr>
        <w:t xml:space="preserve">Northamptonshire </w:t>
      </w:r>
      <w:r w:rsidR="00D631C1">
        <w:rPr>
          <w:lang w:eastAsia="ar-SA"/>
        </w:rPr>
        <w:t xml:space="preserve">and South Cambridgeshire </w:t>
      </w:r>
      <w:r>
        <w:rPr>
          <w:lang w:eastAsia="ar-SA"/>
        </w:rPr>
        <w:t xml:space="preserve">to provide housing for employees in </w:t>
      </w:r>
      <w:r w:rsidR="00D631C1">
        <w:rPr>
          <w:lang w:eastAsia="ar-SA"/>
        </w:rPr>
        <w:t xml:space="preserve">Oxford and </w:t>
      </w:r>
      <w:r>
        <w:rPr>
          <w:lang w:eastAsia="ar-SA"/>
        </w:rPr>
        <w:t>Cambridge.</w:t>
      </w:r>
    </w:p>
    <w:p w:rsidR="00B25948" w:rsidRPr="0010479C" w:rsidRDefault="008F4162" w:rsidP="00A700E7">
      <w:pPr>
        <w:pStyle w:val="ListBullet"/>
        <w:spacing w:before="100" w:after="100" w:line="252" w:lineRule="auto"/>
        <w:rPr>
          <w:lang w:eastAsia="ar-SA"/>
        </w:rPr>
      </w:pPr>
      <w:r>
        <w:rPr>
          <w:lang w:eastAsia="ar-SA"/>
        </w:rPr>
        <w:t>L</w:t>
      </w:r>
      <w:r w:rsidR="00B25948">
        <w:rPr>
          <w:lang w:eastAsia="ar-SA"/>
        </w:rPr>
        <w:t xml:space="preserve">and and </w:t>
      </w:r>
      <w:r w:rsidR="00D631C1">
        <w:rPr>
          <w:lang w:eastAsia="ar-SA"/>
        </w:rPr>
        <w:t xml:space="preserve">a </w:t>
      </w:r>
      <w:r w:rsidR="00B25948">
        <w:rPr>
          <w:lang w:eastAsia="ar-SA"/>
        </w:rPr>
        <w:t xml:space="preserve">willingness to provide the amounts and types of </w:t>
      </w:r>
      <w:r w:rsidR="00B25948" w:rsidRPr="0010479C">
        <w:rPr>
          <w:lang w:eastAsia="ar-SA"/>
        </w:rPr>
        <w:t xml:space="preserve">housing </w:t>
      </w:r>
      <w:r w:rsidR="00B25948">
        <w:rPr>
          <w:lang w:eastAsia="ar-SA"/>
        </w:rPr>
        <w:t>that a growing knowledge-based economy will require</w:t>
      </w:r>
      <w:r w:rsidR="00B25948" w:rsidRPr="0010479C">
        <w:rPr>
          <w:lang w:eastAsia="ar-SA"/>
        </w:rPr>
        <w:t>.</w:t>
      </w:r>
    </w:p>
    <w:p w:rsidR="000427A1" w:rsidRPr="00B25948" w:rsidRDefault="00B25948" w:rsidP="00DB1CB6">
      <w:pPr>
        <w:pStyle w:val="Heading3"/>
        <w:spacing w:before="60" w:after="60" w:line="245" w:lineRule="auto"/>
        <w:rPr>
          <w:lang w:eastAsia="ar-SA"/>
        </w:rPr>
      </w:pPr>
      <w:r>
        <w:rPr>
          <w:lang w:eastAsia="ar-SA"/>
        </w:rPr>
        <w:t>W</w:t>
      </w:r>
      <w:r w:rsidR="000427A1" w:rsidRPr="00B25948">
        <w:rPr>
          <w:lang w:eastAsia="ar-SA"/>
        </w:rPr>
        <w:t>ould greater emphasis on corridor-wide planning and decision making benefit local communities and local economies?</w:t>
      </w:r>
      <w:r>
        <w:rPr>
          <w:lang w:eastAsia="ar-SA"/>
        </w:rPr>
        <w:t xml:space="preserve"> W</w:t>
      </w:r>
      <w:r w:rsidR="000427A1" w:rsidRPr="00B25948">
        <w:rPr>
          <w:lang w:eastAsia="ar-SA"/>
        </w:rPr>
        <w:t>ould that same emphasis on coordinated planning and decision making provide wider benefits for the UK economy?</w:t>
      </w:r>
    </w:p>
    <w:p w:rsidR="00B01A11" w:rsidRDefault="005E062C" w:rsidP="00B25948">
      <w:pPr>
        <w:rPr>
          <w:lang w:eastAsia="ar-SA"/>
        </w:rPr>
      </w:pPr>
      <w:r>
        <w:rPr>
          <w:lang w:eastAsia="ar-SA"/>
        </w:rPr>
        <w:t>Throughout this response we have identified that additional i</w:t>
      </w:r>
      <w:r w:rsidR="00B25948" w:rsidRPr="0010479C">
        <w:rPr>
          <w:lang w:eastAsia="ar-SA"/>
        </w:rPr>
        <w:t xml:space="preserve">nfrastructure </w:t>
      </w:r>
      <w:r>
        <w:rPr>
          <w:lang w:eastAsia="ar-SA"/>
        </w:rPr>
        <w:t xml:space="preserve">is required </w:t>
      </w:r>
      <w:r w:rsidR="00B25948" w:rsidRPr="0010479C">
        <w:rPr>
          <w:lang w:eastAsia="ar-SA"/>
        </w:rPr>
        <w:t xml:space="preserve">along </w:t>
      </w:r>
      <w:r>
        <w:rPr>
          <w:lang w:eastAsia="ar-SA"/>
        </w:rPr>
        <w:t xml:space="preserve">and throughout </w:t>
      </w:r>
      <w:r w:rsidR="00B25948" w:rsidRPr="0010479C">
        <w:rPr>
          <w:lang w:eastAsia="ar-SA"/>
        </w:rPr>
        <w:t xml:space="preserve">the corridor </w:t>
      </w:r>
      <w:r w:rsidR="00B25948">
        <w:rPr>
          <w:lang w:eastAsia="ar-SA"/>
        </w:rPr>
        <w:t xml:space="preserve">to connect its </w:t>
      </w:r>
      <w:r w:rsidR="00B25948" w:rsidRPr="0010479C">
        <w:rPr>
          <w:lang w:eastAsia="ar-SA"/>
        </w:rPr>
        <w:t xml:space="preserve">‘growth poles’ together </w:t>
      </w:r>
      <w:r w:rsidR="00B25948">
        <w:rPr>
          <w:lang w:eastAsia="ar-SA"/>
        </w:rPr>
        <w:t xml:space="preserve">and connect them to </w:t>
      </w:r>
      <w:r w:rsidR="00B25948" w:rsidRPr="0010479C">
        <w:rPr>
          <w:lang w:eastAsia="ar-SA"/>
        </w:rPr>
        <w:t>their labour and business markets</w:t>
      </w:r>
      <w:r w:rsidR="00B25948">
        <w:rPr>
          <w:lang w:eastAsia="ar-SA"/>
        </w:rPr>
        <w:t xml:space="preserve"> and international gateways</w:t>
      </w:r>
      <w:r w:rsidR="00B25948" w:rsidRPr="0010479C">
        <w:rPr>
          <w:lang w:eastAsia="ar-SA"/>
        </w:rPr>
        <w:t>, and to provide capacity for such movement that not only accommodates growth but also acts as an incentive for investment.</w:t>
      </w:r>
      <w:r>
        <w:rPr>
          <w:lang w:eastAsia="ar-SA"/>
        </w:rPr>
        <w:t xml:space="preserve"> </w:t>
      </w:r>
    </w:p>
    <w:p w:rsidR="004B4A8A" w:rsidRDefault="005E062C" w:rsidP="00B25948">
      <w:pPr>
        <w:rPr>
          <w:lang w:eastAsia="ar-SA"/>
        </w:rPr>
      </w:pPr>
      <w:r>
        <w:rPr>
          <w:lang w:eastAsia="ar-SA"/>
        </w:rPr>
        <w:t>This means coordination between local government and between local and central government, including its national delivery bodies (Network Rail</w:t>
      </w:r>
      <w:r w:rsidR="00D631C1">
        <w:rPr>
          <w:lang w:eastAsia="ar-SA"/>
        </w:rPr>
        <w:t xml:space="preserve">, </w:t>
      </w:r>
      <w:r>
        <w:rPr>
          <w:lang w:eastAsia="ar-SA"/>
        </w:rPr>
        <w:t>Highways England</w:t>
      </w:r>
      <w:r w:rsidR="002461AF">
        <w:rPr>
          <w:lang w:eastAsia="ar-SA"/>
        </w:rPr>
        <w:t>,</w:t>
      </w:r>
      <w:r w:rsidR="00D631C1">
        <w:rPr>
          <w:lang w:eastAsia="ar-SA"/>
        </w:rPr>
        <w:t xml:space="preserve"> and </w:t>
      </w:r>
      <w:r w:rsidR="002461AF">
        <w:rPr>
          <w:lang w:eastAsia="ar-SA"/>
        </w:rPr>
        <w:t xml:space="preserve">the </w:t>
      </w:r>
      <w:r w:rsidR="00D631C1">
        <w:rPr>
          <w:lang w:eastAsia="ar-SA"/>
        </w:rPr>
        <w:t>Homes and Communities Agency</w:t>
      </w:r>
      <w:r>
        <w:rPr>
          <w:lang w:eastAsia="ar-SA"/>
        </w:rPr>
        <w:t>)</w:t>
      </w:r>
      <w:r w:rsidR="00D631C1">
        <w:rPr>
          <w:lang w:eastAsia="ar-SA"/>
        </w:rPr>
        <w:t xml:space="preserve"> and effective working with utility companies</w:t>
      </w:r>
      <w:r>
        <w:rPr>
          <w:lang w:eastAsia="ar-SA"/>
        </w:rPr>
        <w:t xml:space="preserve">. </w:t>
      </w:r>
    </w:p>
    <w:p w:rsidR="00B25948" w:rsidRDefault="004B4A8A" w:rsidP="00B25948">
      <w:pPr>
        <w:rPr>
          <w:lang w:eastAsia="ar-SA"/>
        </w:rPr>
      </w:pPr>
      <w:r>
        <w:rPr>
          <w:lang w:eastAsia="ar-SA"/>
        </w:rPr>
        <w:t xml:space="preserve">Co-ordinated corridor-wide planning and decision making is needed if our growth potential is to be delivered. Options for a special purpose vehicle for integrated planning should be considered. </w:t>
      </w:r>
      <w:r w:rsidR="005E062C">
        <w:rPr>
          <w:lang w:eastAsia="ar-SA"/>
        </w:rPr>
        <w:t xml:space="preserve">However, this does </w:t>
      </w:r>
      <w:r w:rsidR="00F10299">
        <w:rPr>
          <w:lang w:eastAsia="ar-SA"/>
        </w:rPr>
        <w:t xml:space="preserve">not mean that governance reform is a prerequisite to achieve this and we consider that provided partners are sufficiently resourced these goals can be achieved within the context of existing </w:t>
      </w:r>
      <w:r w:rsidR="00D631C1">
        <w:rPr>
          <w:lang w:eastAsia="ar-SA"/>
        </w:rPr>
        <w:t xml:space="preserve">governance </w:t>
      </w:r>
      <w:r w:rsidR="00F10299">
        <w:rPr>
          <w:lang w:eastAsia="ar-SA"/>
        </w:rPr>
        <w:t>structures.</w:t>
      </w:r>
    </w:p>
    <w:p w:rsidR="000865E2" w:rsidRPr="0010479C" w:rsidRDefault="000865E2" w:rsidP="00B25948">
      <w:pPr>
        <w:rPr>
          <w:lang w:eastAsia="ar-SA"/>
        </w:rPr>
      </w:pPr>
      <w:r>
        <w:rPr>
          <w:lang w:eastAsia="ar-SA"/>
        </w:rPr>
        <w:t xml:space="preserve">It also means that investment is required in wider infrastructure to ensure that more can benefit from the investment in strategic infrastructure, to support growing local communities, and to provide equitable and </w:t>
      </w:r>
      <w:proofErr w:type="gramStart"/>
      <w:r>
        <w:rPr>
          <w:lang w:eastAsia="ar-SA"/>
        </w:rPr>
        <w:t>inclusive  growth</w:t>
      </w:r>
      <w:proofErr w:type="gramEnd"/>
      <w:r>
        <w:rPr>
          <w:lang w:eastAsia="ar-SA"/>
        </w:rPr>
        <w:t xml:space="preserve"> – optimising the benefit of the investment for sustainable growth.</w:t>
      </w:r>
    </w:p>
    <w:p w:rsidR="000427A1" w:rsidRDefault="00B25948" w:rsidP="00B01A11">
      <w:pPr>
        <w:pStyle w:val="Heading3"/>
        <w:spacing w:before="60" w:after="60" w:line="245" w:lineRule="auto"/>
        <w:rPr>
          <w:lang w:eastAsia="ar-SA"/>
        </w:rPr>
      </w:pPr>
      <w:r>
        <w:rPr>
          <w:lang w:eastAsia="ar-SA"/>
        </w:rPr>
        <w:t>S</w:t>
      </w:r>
      <w:r w:rsidR="000427A1" w:rsidRPr="004362EE">
        <w:rPr>
          <w:lang w:eastAsia="ar-SA"/>
        </w:rPr>
        <w:t>hould adjacent towns and cities be incorporated into the corridor in terms of growth and infrastructure planning?</w:t>
      </w:r>
    </w:p>
    <w:p w:rsidR="00B25948" w:rsidRPr="00B25948" w:rsidRDefault="00B25948" w:rsidP="00B25948">
      <w:pPr>
        <w:rPr>
          <w:lang w:eastAsia="ar-SA"/>
        </w:rPr>
      </w:pPr>
      <w:r w:rsidRPr="00B25948">
        <w:rPr>
          <w:lang w:eastAsia="ar-SA"/>
        </w:rPr>
        <w:t>Adjacent towns and cities should be considered. In particular, Swindon, which demonstrates many similar characteristics with the corridors’ other fast growth, high productivity urban areas. Swindon has very strong links to Oxfordshire through its advance manufacturing automotive industry. Without enhanced connectivity</w:t>
      </w:r>
      <w:r w:rsidR="002461AF">
        <w:rPr>
          <w:lang w:eastAsia="ar-SA"/>
        </w:rPr>
        <w:t>,</w:t>
      </w:r>
      <w:r w:rsidRPr="00B25948">
        <w:rPr>
          <w:lang w:eastAsia="ar-SA"/>
        </w:rPr>
        <w:t xml:space="preserve"> growth </w:t>
      </w:r>
      <w:r w:rsidR="002461AF">
        <w:rPr>
          <w:lang w:eastAsia="ar-SA"/>
        </w:rPr>
        <w:t>in this sector is held back</w:t>
      </w:r>
      <w:r w:rsidRPr="00B25948">
        <w:rPr>
          <w:lang w:eastAsia="ar-SA"/>
        </w:rPr>
        <w:t xml:space="preserve">. </w:t>
      </w:r>
    </w:p>
    <w:p w:rsidR="000427A1" w:rsidRPr="004362EE" w:rsidRDefault="004362EE" w:rsidP="00DB1CB6">
      <w:pPr>
        <w:pStyle w:val="Heading3"/>
        <w:spacing w:before="60" w:after="60" w:line="245" w:lineRule="auto"/>
        <w:rPr>
          <w:rFonts w:eastAsia="Times New Roman"/>
          <w:lang w:eastAsia="ar-SA"/>
        </w:rPr>
      </w:pPr>
      <w:r>
        <w:rPr>
          <w:rFonts w:eastAsia="Times New Roman"/>
          <w:lang w:eastAsia="ar-SA"/>
        </w:rPr>
        <w:t>Q</w:t>
      </w:r>
      <w:r w:rsidR="000427A1" w:rsidRPr="004362EE">
        <w:rPr>
          <w:rFonts w:eastAsia="Times New Roman"/>
          <w:lang w:eastAsia="ar-SA"/>
        </w:rPr>
        <w:t>4. Are there lessons to be learnt from previous initiatives to maximise the potential of the corridor?</w:t>
      </w:r>
    </w:p>
    <w:p w:rsidR="00FE4F68" w:rsidRDefault="00C34B31" w:rsidP="009002EF">
      <w:r w:rsidRPr="00D54157">
        <w:rPr>
          <w:lang w:eastAsia="ar-SA"/>
        </w:rPr>
        <w:t>There are multiple models that have worked in the past with lessons learnt that can be shared and continue to be evolved locally</w:t>
      </w:r>
      <w:r w:rsidR="00441BA1" w:rsidRPr="00D54157">
        <w:rPr>
          <w:lang w:eastAsia="ar-SA"/>
        </w:rPr>
        <w:t>. For example, T</w:t>
      </w:r>
      <w:r w:rsidRPr="00D54157">
        <w:rPr>
          <w:lang w:eastAsia="ar-SA"/>
        </w:rPr>
        <w:t>he Cambridge Phenomen</w:t>
      </w:r>
      <w:r w:rsidR="00026ED2" w:rsidRPr="00D54157">
        <w:rPr>
          <w:lang w:eastAsia="ar-SA"/>
        </w:rPr>
        <w:t>on</w:t>
      </w:r>
      <w:r w:rsidR="00441BA1" w:rsidRPr="00D54157">
        <w:rPr>
          <w:lang w:eastAsia="ar-SA"/>
        </w:rPr>
        <w:t xml:space="preserve"> – university</w:t>
      </w:r>
      <w:r w:rsidR="00D54157" w:rsidRPr="00D54157">
        <w:rPr>
          <w:lang w:eastAsia="ar-SA"/>
        </w:rPr>
        <w:t>-led</w:t>
      </w:r>
      <w:r w:rsidR="00441BA1" w:rsidRPr="00D54157">
        <w:rPr>
          <w:lang w:eastAsia="ar-SA"/>
        </w:rPr>
        <w:t>, innovation-led growth</w:t>
      </w:r>
      <w:r w:rsidR="00FE4F68">
        <w:rPr>
          <w:lang w:eastAsia="ar-SA"/>
        </w:rPr>
        <w:t xml:space="preserve"> over several decades;</w:t>
      </w:r>
      <w:r w:rsidR="00441BA1" w:rsidRPr="00D54157">
        <w:rPr>
          <w:lang w:eastAsia="ar-SA"/>
        </w:rPr>
        <w:t xml:space="preserve"> supported by the public sector through </w:t>
      </w:r>
      <w:r w:rsidR="00D54157" w:rsidRPr="00D54157">
        <w:rPr>
          <w:lang w:eastAsia="ar-SA"/>
        </w:rPr>
        <w:t xml:space="preserve">forward funding of infrastructure, </w:t>
      </w:r>
      <w:r w:rsidR="00FE4F68">
        <w:rPr>
          <w:lang w:eastAsia="ar-SA"/>
        </w:rPr>
        <w:t xml:space="preserve">and </w:t>
      </w:r>
      <w:r w:rsidR="00D54157" w:rsidRPr="00D54157">
        <w:rPr>
          <w:lang w:eastAsia="ar-SA"/>
        </w:rPr>
        <w:t xml:space="preserve">collectively </w:t>
      </w:r>
      <w:r w:rsidR="00441BA1" w:rsidRPr="00D54157">
        <w:rPr>
          <w:lang w:eastAsia="ar-SA"/>
        </w:rPr>
        <w:t>provi</w:t>
      </w:r>
      <w:r w:rsidR="00D54157" w:rsidRPr="00D54157">
        <w:rPr>
          <w:lang w:eastAsia="ar-SA"/>
        </w:rPr>
        <w:t xml:space="preserve">ding land, low cost space, and strong business support; backed by a singular shared vision which </w:t>
      </w:r>
      <w:r w:rsidR="00FE4F68">
        <w:rPr>
          <w:lang w:eastAsia="ar-SA"/>
        </w:rPr>
        <w:t xml:space="preserve">has given </w:t>
      </w:r>
      <w:r w:rsidR="00D54157" w:rsidRPr="00D54157">
        <w:rPr>
          <w:lang w:eastAsia="ar-SA"/>
        </w:rPr>
        <w:t>confidence to industry</w:t>
      </w:r>
      <w:r w:rsidR="00FE4F68">
        <w:rPr>
          <w:lang w:eastAsia="ar-SA"/>
        </w:rPr>
        <w:t xml:space="preserve"> and local partners</w:t>
      </w:r>
      <w:r w:rsidR="00D54157" w:rsidRPr="00D54157">
        <w:rPr>
          <w:lang w:eastAsia="ar-SA"/>
        </w:rPr>
        <w:t>. The integration of lessons learnt is already in practice and is part of our proposition.  For example</w:t>
      </w:r>
      <w:r w:rsidR="00FE4F68">
        <w:rPr>
          <w:lang w:eastAsia="ar-SA"/>
        </w:rPr>
        <w:t>,</w:t>
      </w:r>
      <w:r w:rsidR="00D54157" w:rsidRPr="00D54157">
        <w:rPr>
          <w:lang w:eastAsia="ar-SA"/>
        </w:rPr>
        <w:t xml:space="preserve"> </w:t>
      </w:r>
      <w:r w:rsidR="00402A13" w:rsidRPr="00D54157">
        <w:t xml:space="preserve">Didcot and Science Vale </w:t>
      </w:r>
      <w:r w:rsidR="00D54157" w:rsidRPr="00D54157">
        <w:t xml:space="preserve">which have the potential to </w:t>
      </w:r>
      <w:r w:rsidR="00402A13" w:rsidRPr="00D54157">
        <w:t>bring similar benefits to Oxford</w:t>
      </w:r>
      <w:r w:rsidR="00FE4F68">
        <w:t>shire</w:t>
      </w:r>
      <w:r w:rsidR="00D54157" w:rsidRPr="00D54157">
        <w:t>.</w:t>
      </w:r>
      <w:r w:rsidR="00D54157">
        <w:t xml:space="preserve"> </w:t>
      </w:r>
    </w:p>
    <w:p w:rsidR="00C34B31" w:rsidRDefault="00C34B31" w:rsidP="009002EF">
      <w:pPr>
        <w:rPr>
          <w:lang w:eastAsia="ar-SA"/>
        </w:rPr>
      </w:pPr>
      <w:r>
        <w:rPr>
          <w:lang w:eastAsia="ar-SA"/>
        </w:rPr>
        <w:t>However, we need something additional to achieve the transformational potential rather than deliver more of the same.</w:t>
      </w:r>
    </w:p>
    <w:p w:rsidR="000865E2" w:rsidRDefault="000865E2" w:rsidP="009002EF">
      <w:pPr>
        <w:rPr>
          <w:lang w:eastAsia="ar-SA"/>
        </w:rPr>
      </w:pPr>
    </w:p>
    <w:p w:rsidR="0010479C" w:rsidRPr="0010479C" w:rsidRDefault="0010479C" w:rsidP="009002EF">
      <w:pPr>
        <w:rPr>
          <w:lang w:eastAsia="ar-SA"/>
        </w:rPr>
      </w:pPr>
      <w:r>
        <w:rPr>
          <w:lang w:eastAsia="ar-SA"/>
        </w:rPr>
        <w:t xml:space="preserve">The current push for the formation of Combined Authorities is understandable for </w:t>
      </w:r>
      <w:r w:rsidR="00340E7B">
        <w:rPr>
          <w:lang w:eastAsia="ar-SA"/>
        </w:rPr>
        <w:t xml:space="preserve">urban </w:t>
      </w:r>
      <w:r>
        <w:rPr>
          <w:lang w:eastAsia="ar-SA"/>
        </w:rPr>
        <w:t>areas</w:t>
      </w:r>
      <w:r w:rsidR="00340E7B">
        <w:rPr>
          <w:lang w:eastAsia="ar-SA"/>
        </w:rPr>
        <w:t xml:space="preserve"> centred on big cities</w:t>
      </w:r>
      <w:r>
        <w:rPr>
          <w:lang w:eastAsia="ar-SA"/>
        </w:rPr>
        <w:t xml:space="preserve">, but </w:t>
      </w:r>
      <w:r w:rsidR="00340E7B">
        <w:rPr>
          <w:lang w:eastAsia="ar-SA"/>
        </w:rPr>
        <w:t xml:space="preserve">it </w:t>
      </w:r>
      <w:r>
        <w:rPr>
          <w:lang w:eastAsia="ar-SA"/>
        </w:rPr>
        <w:t xml:space="preserve">is not the only model for strong governance, accountability and accelerated delivery and growth, as evidenced above. Whilst work is underway for the formation of a Sub-National Transport Body, England’s Economic Heartland, </w:t>
      </w:r>
      <w:r w:rsidR="00F11B2F">
        <w:rPr>
          <w:lang w:eastAsia="ar-SA"/>
        </w:rPr>
        <w:t xml:space="preserve">it would be wrong for </w:t>
      </w:r>
      <w:r>
        <w:rPr>
          <w:lang w:eastAsia="ar-SA"/>
        </w:rPr>
        <w:t xml:space="preserve">the corridor </w:t>
      </w:r>
      <w:r w:rsidR="00F11B2F">
        <w:rPr>
          <w:lang w:eastAsia="ar-SA"/>
        </w:rPr>
        <w:t xml:space="preserve">to be </w:t>
      </w:r>
      <w:r>
        <w:rPr>
          <w:lang w:eastAsia="ar-SA"/>
        </w:rPr>
        <w:t xml:space="preserve">penalised and constrained in delivering genuinely high levels of growth for the country </w:t>
      </w:r>
      <w:r w:rsidR="00F11B2F">
        <w:rPr>
          <w:lang w:eastAsia="ar-SA"/>
        </w:rPr>
        <w:t xml:space="preserve">by developing its own </w:t>
      </w:r>
      <w:r>
        <w:rPr>
          <w:lang w:eastAsia="ar-SA"/>
        </w:rPr>
        <w:t xml:space="preserve">successful models for planning, delivery and growth. </w:t>
      </w:r>
      <w:r w:rsidRPr="0010479C">
        <w:rPr>
          <w:lang w:eastAsia="ar-SA"/>
        </w:rPr>
        <w:t xml:space="preserve">We </w:t>
      </w:r>
      <w:r w:rsidR="00F11B2F">
        <w:rPr>
          <w:lang w:eastAsia="ar-SA"/>
        </w:rPr>
        <w:t xml:space="preserve">do and </w:t>
      </w:r>
      <w:r w:rsidRPr="0010479C">
        <w:rPr>
          <w:lang w:eastAsia="ar-SA"/>
        </w:rPr>
        <w:t xml:space="preserve">will </w:t>
      </w:r>
      <w:r w:rsidR="00F11B2F">
        <w:rPr>
          <w:lang w:eastAsia="ar-SA"/>
        </w:rPr>
        <w:t xml:space="preserve">continue to </w:t>
      </w:r>
      <w:r w:rsidRPr="0010479C">
        <w:rPr>
          <w:lang w:eastAsia="ar-SA"/>
        </w:rPr>
        <w:t>work collaboratively locally and with nation</w:t>
      </w:r>
      <w:r w:rsidR="00F11B2F">
        <w:rPr>
          <w:lang w:eastAsia="ar-SA"/>
        </w:rPr>
        <w:t>al</w:t>
      </w:r>
      <w:r w:rsidRPr="0010479C">
        <w:rPr>
          <w:lang w:eastAsia="ar-SA"/>
        </w:rPr>
        <w:t xml:space="preserve"> partners to accelerate delivery and growth</w:t>
      </w:r>
      <w:r w:rsidR="00F11B2F">
        <w:rPr>
          <w:lang w:eastAsia="ar-SA"/>
        </w:rPr>
        <w:t xml:space="preserve">. </w:t>
      </w:r>
    </w:p>
    <w:p w:rsidR="00A305BE" w:rsidRDefault="004362EE" w:rsidP="00DB1CB6">
      <w:pPr>
        <w:pStyle w:val="Heading3"/>
        <w:numPr>
          <w:ilvl w:val="0"/>
          <w:numId w:val="0"/>
        </w:numPr>
        <w:spacing w:before="60" w:after="60" w:line="245" w:lineRule="auto"/>
        <w:rPr>
          <w:rFonts w:eastAsia="Times New Roman"/>
          <w:lang w:eastAsia="ar-SA"/>
        </w:rPr>
      </w:pPr>
      <w:r>
        <w:rPr>
          <w:rFonts w:eastAsia="Times New Roman"/>
          <w:lang w:eastAsia="ar-SA"/>
        </w:rPr>
        <w:t>Q</w:t>
      </w:r>
      <w:r w:rsidR="000427A1" w:rsidRPr="004362EE">
        <w:rPr>
          <w:rFonts w:eastAsia="Times New Roman"/>
          <w:lang w:eastAsia="ar-SA"/>
        </w:rPr>
        <w:t>5. Are you aware of any examples of UK or international good practice, for example in respect of new technology, local frameworks or the built environment that are relevant to this review?</w:t>
      </w:r>
    </w:p>
    <w:p w:rsidR="0034711D" w:rsidRDefault="0034711D" w:rsidP="0034711D">
      <w:pPr>
        <w:spacing w:before="80" w:after="80" w:line="252" w:lineRule="auto"/>
        <w:rPr>
          <w:lang w:eastAsia="ar-SA"/>
        </w:rPr>
      </w:pPr>
      <w:r>
        <w:rPr>
          <w:color w:val="404040" w:themeColor="text1" w:themeTint="BF"/>
          <w:lang w:eastAsia="ar-SA"/>
        </w:rPr>
        <w:t xml:space="preserve">Through comparison of population, knowledge-sectors, and </w:t>
      </w:r>
      <w:r>
        <w:rPr>
          <w:lang w:eastAsia="ar-SA"/>
        </w:rPr>
        <w:t xml:space="preserve">Gross Domestic Product (GDP) per capita, globally competitive regions such as the </w:t>
      </w:r>
      <w:proofErr w:type="spellStart"/>
      <w:r>
        <w:rPr>
          <w:lang w:eastAsia="ar-SA"/>
        </w:rPr>
        <w:t>Rhein-Pflaz</w:t>
      </w:r>
      <w:proofErr w:type="spellEnd"/>
      <w:r>
        <w:rPr>
          <w:lang w:eastAsia="ar-SA"/>
        </w:rPr>
        <w:t xml:space="preserve"> around Mainz and Koblenz compare favourably – Germany’s highest export rate of 50%, specialising in advanced manufacturing in automotive and pharmaceutical sectors</w:t>
      </w:r>
      <w:r>
        <w:rPr>
          <w:rStyle w:val="EndnoteReference"/>
          <w:lang w:eastAsia="ar-SA"/>
        </w:rPr>
        <w:endnoteReference w:id="16"/>
      </w:r>
      <w:r w:rsidRPr="002644B8">
        <w:rPr>
          <w:vertAlign w:val="superscript"/>
          <w:lang w:eastAsia="ar-SA"/>
        </w:rPr>
        <w:t>,</w:t>
      </w:r>
      <w:r>
        <w:rPr>
          <w:rStyle w:val="EndnoteReference"/>
          <w:lang w:eastAsia="ar-SA"/>
        </w:rPr>
        <w:endnoteReference w:id="17"/>
      </w:r>
      <w:r>
        <w:rPr>
          <w:lang w:eastAsia="ar-SA"/>
        </w:rPr>
        <w:t>.</w:t>
      </w:r>
      <w:r w:rsidR="00DB56CF">
        <w:rPr>
          <w:lang w:eastAsia="ar-SA"/>
        </w:rPr>
        <w:t xml:space="preserve"> Further work could identify key drivers, barriers and opportunities for such comparable, globally competitive areas.</w:t>
      </w:r>
    </w:p>
    <w:p w:rsidR="00FE4F68" w:rsidRDefault="009002EF" w:rsidP="009002EF">
      <w:pPr>
        <w:rPr>
          <w:lang w:eastAsia="ar-SA"/>
        </w:rPr>
      </w:pPr>
      <w:r>
        <w:rPr>
          <w:lang w:eastAsia="ar-SA"/>
        </w:rPr>
        <w:t xml:space="preserve">To grow as a truly global competitor it is important to look to successful international comparators </w:t>
      </w:r>
      <w:r w:rsidR="00FE4F68">
        <w:rPr>
          <w:lang w:eastAsia="ar-SA"/>
        </w:rPr>
        <w:t>– those reviewed are:</w:t>
      </w:r>
    </w:p>
    <w:p w:rsidR="00FE4F68" w:rsidRDefault="00FE4F68" w:rsidP="00FE4F68">
      <w:pPr>
        <w:pStyle w:val="ListBullet"/>
        <w:rPr>
          <w:lang w:eastAsia="ar-SA"/>
        </w:rPr>
      </w:pPr>
      <w:r w:rsidRPr="00FE4F68">
        <w:rPr>
          <w:lang w:eastAsia="ar-SA"/>
        </w:rPr>
        <w:t xml:space="preserve">The Eindhoven-Leuven-Aachen </w:t>
      </w:r>
      <w:r>
        <w:rPr>
          <w:lang w:eastAsia="ar-SA"/>
        </w:rPr>
        <w:t>T</w:t>
      </w:r>
      <w:r w:rsidRPr="00FE4F68">
        <w:rPr>
          <w:lang w:eastAsia="ar-SA"/>
        </w:rPr>
        <w:t>riangle</w:t>
      </w:r>
      <w:r>
        <w:rPr>
          <w:lang w:eastAsia="ar-SA"/>
        </w:rPr>
        <w:t xml:space="preserve"> (ELAT), Western Europe;</w:t>
      </w:r>
    </w:p>
    <w:p w:rsidR="00FE4F68" w:rsidRDefault="00FE4F68" w:rsidP="00FE4F68">
      <w:pPr>
        <w:pStyle w:val="ListBullet"/>
        <w:rPr>
          <w:lang w:eastAsia="ar-SA"/>
        </w:rPr>
      </w:pPr>
      <w:r>
        <w:rPr>
          <w:lang w:eastAsia="ar-SA"/>
        </w:rPr>
        <w:t>The Randstad, Netherlands;</w:t>
      </w:r>
    </w:p>
    <w:p w:rsidR="00FE4F68" w:rsidRDefault="00FE4F68" w:rsidP="00FE4F68">
      <w:pPr>
        <w:pStyle w:val="ListBullet"/>
        <w:rPr>
          <w:lang w:eastAsia="ar-SA"/>
        </w:rPr>
      </w:pPr>
      <w:r>
        <w:rPr>
          <w:lang w:eastAsia="ar-SA"/>
        </w:rPr>
        <w:t>Boston (MA), United States of America; and</w:t>
      </w:r>
    </w:p>
    <w:p w:rsidR="00FE4F68" w:rsidRDefault="00FE4F68" w:rsidP="00FE4F68">
      <w:pPr>
        <w:pStyle w:val="ListBullet"/>
        <w:rPr>
          <w:lang w:eastAsia="ar-SA"/>
        </w:rPr>
      </w:pPr>
      <w:r>
        <w:rPr>
          <w:lang w:eastAsia="ar-SA"/>
        </w:rPr>
        <w:t>Singapore.</w:t>
      </w:r>
    </w:p>
    <w:p w:rsidR="009002EF" w:rsidRDefault="00FE4F68" w:rsidP="009002EF">
      <w:pPr>
        <w:rPr>
          <w:lang w:eastAsia="ar-SA"/>
        </w:rPr>
      </w:pPr>
      <w:r>
        <w:rPr>
          <w:lang w:eastAsia="ar-SA"/>
        </w:rPr>
        <w:t xml:space="preserve">Key lessons </w:t>
      </w:r>
      <w:r w:rsidR="009002EF">
        <w:rPr>
          <w:lang w:eastAsia="ar-SA"/>
        </w:rPr>
        <w:t>learnt</w:t>
      </w:r>
      <w:r>
        <w:rPr>
          <w:lang w:eastAsia="ar-SA"/>
        </w:rPr>
        <w:t xml:space="preserve"> include:</w:t>
      </w:r>
      <w:r w:rsidR="00FB1052">
        <w:rPr>
          <w:lang w:eastAsia="ar-SA"/>
        </w:rPr>
        <w:t xml:space="preserve"> </w:t>
      </w:r>
    </w:p>
    <w:p w:rsidR="009002EF" w:rsidRDefault="00FB1052" w:rsidP="00402A13">
      <w:pPr>
        <w:pStyle w:val="ListBullet"/>
        <w:spacing w:before="140" w:after="140" w:line="280" w:lineRule="atLeast"/>
        <w:rPr>
          <w:lang w:eastAsia="ar-SA"/>
        </w:rPr>
      </w:pPr>
      <w:r w:rsidRPr="00441BA1">
        <w:rPr>
          <w:b/>
          <w:lang w:eastAsia="ar-SA"/>
        </w:rPr>
        <w:t>Good connectivity and high productivity go hand in hand</w:t>
      </w:r>
      <w:r w:rsidR="00441BA1" w:rsidRPr="00441BA1">
        <w:rPr>
          <w:b/>
          <w:lang w:eastAsia="ar-SA"/>
        </w:rPr>
        <w:t>:</w:t>
      </w:r>
      <w:r>
        <w:rPr>
          <w:lang w:eastAsia="ar-SA"/>
        </w:rPr>
        <w:t xml:space="preserve"> This is both local </w:t>
      </w:r>
      <w:r w:rsidR="005B4C9D">
        <w:rPr>
          <w:lang w:eastAsia="ar-SA"/>
        </w:rPr>
        <w:t xml:space="preserve">physical and digital </w:t>
      </w:r>
      <w:r>
        <w:rPr>
          <w:lang w:eastAsia="ar-SA"/>
        </w:rPr>
        <w:t>connectivity supporting wide labour markets and business to business links and longer distance (typically international) connectivity to access supplier, markets and collaborators. Applying this lesson to the Oxford to Cambridge corridor, this means enhanced connectivity east-west within the corridor, to elsewhere in the UK and notably to London and to port and airport international gateways. To support the planning and delivery of the last of these and as already a clear and unequivocal decision on the location of additional runway capacity in the South East is needed urgently.</w:t>
      </w:r>
      <w:r w:rsidR="00402A13">
        <w:rPr>
          <w:lang w:eastAsia="ar-SA"/>
        </w:rPr>
        <w:t xml:space="preserve"> </w:t>
      </w:r>
      <w:r w:rsidR="007C21D1">
        <w:rPr>
          <w:lang w:eastAsia="ar-SA"/>
        </w:rPr>
        <w:t>High productivity is associated with s</w:t>
      </w:r>
      <w:r>
        <w:rPr>
          <w:lang w:eastAsia="ar-SA"/>
        </w:rPr>
        <w:t>trong</w:t>
      </w:r>
      <w:r w:rsidR="007C21D1">
        <w:rPr>
          <w:lang w:eastAsia="ar-SA"/>
        </w:rPr>
        <w:t xml:space="preserve"> links between the public sector, private sector and academia</w:t>
      </w:r>
      <w:r w:rsidR="00496D40">
        <w:rPr>
          <w:lang w:eastAsia="ar-SA"/>
        </w:rPr>
        <w:t>.</w:t>
      </w:r>
      <w:r w:rsidR="007C21D1">
        <w:rPr>
          <w:lang w:eastAsia="ar-SA"/>
        </w:rPr>
        <w:t xml:space="preserve"> A clear public sector led infrastructure plan with a credible delivery programme helps give the private sector the confidence needed to support their locational and investment decisions. Private and education sector involvement in the development of such plans increases their credibility further.</w:t>
      </w:r>
    </w:p>
    <w:p w:rsidR="007C21D1" w:rsidRDefault="007C21D1" w:rsidP="009002EF">
      <w:pPr>
        <w:pStyle w:val="ListBullet"/>
        <w:rPr>
          <w:lang w:eastAsia="ar-SA"/>
        </w:rPr>
      </w:pPr>
      <w:r w:rsidRPr="00441BA1">
        <w:rPr>
          <w:b/>
          <w:lang w:eastAsia="ar-SA"/>
        </w:rPr>
        <w:t>Looking across the globe, there is no single governance model associated with high productivity growth</w:t>
      </w:r>
      <w:r w:rsidR="00441BA1" w:rsidRPr="00441BA1">
        <w:rPr>
          <w:b/>
          <w:lang w:eastAsia="ar-SA"/>
        </w:rPr>
        <w:t>:</w:t>
      </w:r>
      <w:r>
        <w:rPr>
          <w:lang w:eastAsia="ar-SA"/>
        </w:rPr>
        <w:t xml:space="preserve"> Some examples are top-down and dirigiste, other </w:t>
      </w:r>
      <w:proofErr w:type="gramStart"/>
      <w:r>
        <w:rPr>
          <w:lang w:eastAsia="ar-SA"/>
        </w:rPr>
        <w:t>are</w:t>
      </w:r>
      <w:proofErr w:type="gramEnd"/>
      <w:r>
        <w:rPr>
          <w:lang w:eastAsia="ar-SA"/>
        </w:rPr>
        <w:t xml:space="preserve"> collaborative involving multiple tiers of local and regional government </w:t>
      </w:r>
      <w:r w:rsidR="00402A13">
        <w:rPr>
          <w:lang w:eastAsia="ar-SA"/>
        </w:rPr>
        <w:t xml:space="preserve">and a principal of subsidiarity, </w:t>
      </w:r>
      <w:r>
        <w:rPr>
          <w:lang w:eastAsia="ar-SA"/>
        </w:rPr>
        <w:t>and in some cases, multiple national governments. However, what is common is a clear strategy and plan, often supported by bespoke delivery bodies.</w:t>
      </w:r>
    </w:p>
    <w:p w:rsidR="00A700E7" w:rsidRDefault="00441BA1" w:rsidP="009002EF">
      <w:pPr>
        <w:pStyle w:val="ListBullet"/>
        <w:rPr>
          <w:lang w:eastAsia="ar-SA"/>
        </w:rPr>
      </w:pPr>
      <w:r w:rsidRPr="00441BA1">
        <w:rPr>
          <w:b/>
          <w:lang w:eastAsia="ar-SA"/>
        </w:rPr>
        <w:t>Clear route to funding and financing:</w:t>
      </w:r>
      <w:r>
        <w:rPr>
          <w:lang w:eastAsia="ar-SA"/>
        </w:rPr>
        <w:t xml:space="preserve"> </w:t>
      </w:r>
      <w:r w:rsidR="007C21D1">
        <w:rPr>
          <w:lang w:eastAsia="ar-SA"/>
        </w:rPr>
        <w:t>Associated with these strategies and plans is a clear route to funding and financing infrastructure enhancements and so delivery.</w:t>
      </w:r>
    </w:p>
    <w:p w:rsidR="00A700E7" w:rsidRDefault="00A700E7" w:rsidP="00A700E7">
      <w:pPr>
        <w:rPr>
          <w:lang w:eastAsia="ar-SA"/>
        </w:rPr>
      </w:pPr>
    </w:p>
    <w:p w:rsidR="00A700E7" w:rsidRDefault="00A700E7" w:rsidP="00A700E7">
      <w:pPr>
        <w:rPr>
          <w:lang w:eastAsia="ar-SA"/>
        </w:rPr>
      </w:pPr>
    </w:p>
    <w:p w:rsidR="00A700E7" w:rsidRDefault="00A700E7" w:rsidP="00A700E7">
      <w:pPr>
        <w:rPr>
          <w:lang w:eastAsia="ar-SA"/>
        </w:rPr>
      </w:pPr>
    </w:p>
    <w:p w:rsidR="00A700E7" w:rsidRDefault="00A700E7" w:rsidP="00A700E7">
      <w:pPr>
        <w:rPr>
          <w:lang w:eastAsia="ar-SA"/>
        </w:rPr>
      </w:pPr>
    </w:p>
    <w:sectPr w:rsidR="00A700E7" w:rsidSect="00241E98">
      <w:pgSz w:w="11907" w:h="16839"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0B8" w:rsidRDefault="00E240B8" w:rsidP="00397A4D">
      <w:pPr>
        <w:spacing w:after="0" w:line="240" w:lineRule="auto"/>
      </w:pPr>
      <w:r>
        <w:separator/>
      </w:r>
    </w:p>
  </w:endnote>
  <w:endnote w:type="continuationSeparator" w:id="0">
    <w:p w:rsidR="00E240B8" w:rsidRDefault="00E240B8" w:rsidP="00397A4D">
      <w:pPr>
        <w:spacing w:after="0" w:line="240" w:lineRule="auto"/>
      </w:pPr>
      <w:r>
        <w:continuationSeparator/>
      </w:r>
    </w:p>
  </w:endnote>
  <w:endnote w:id="1">
    <w:p w:rsidR="003D045B" w:rsidRDefault="003D045B" w:rsidP="002461AF">
      <w:pPr>
        <w:pStyle w:val="Heading2"/>
      </w:pPr>
      <w:r>
        <w:t>Endnotes</w:t>
      </w:r>
    </w:p>
    <w:p w:rsidR="003D045B" w:rsidRPr="003D045B" w:rsidRDefault="003D045B" w:rsidP="003D045B">
      <w:pPr>
        <w:pStyle w:val="EndnoteText"/>
        <w:tabs>
          <w:tab w:val="left" w:pos="284"/>
        </w:tabs>
        <w:ind w:left="284" w:hanging="284"/>
        <w:rPr>
          <w:rStyle w:val="Hyperlink"/>
          <w:b w:val="0"/>
          <w:color w:val="404040"/>
          <w:sz w:val="16"/>
          <w:szCs w:val="16"/>
          <w:u w:val="none"/>
        </w:rPr>
      </w:pPr>
      <w:r w:rsidRPr="00DB1178">
        <w:rPr>
          <w:rStyle w:val="EndnoteReference"/>
          <w:sz w:val="16"/>
          <w:szCs w:val="16"/>
        </w:rPr>
        <w:endnoteRef/>
      </w:r>
      <w:r w:rsidRPr="00DB1178">
        <w:rPr>
          <w:sz w:val="16"/>
          <w:szCs w:val="16"/>
        </w:rPr>
        <w:t xml:space="preserve"> </w:t>
      </w:r>
      <w:r>
        <w:rPr>
          <w:sz w:val="16"/>
          <w:szCs w:val="16"/>
        </w:rPr>
        <w:tab/>
        <w:t xml:space="preserve">Source: Office for National Statistics GVA for Local Enterprise Partnerships (2014) for GVA by LEP and Business Register and Employment Survey (2014) for employment numbers. </w:t>
      </w:r>
      <w:r w:rsidRPr="003D045B">
        <w:rPr>
          <w:rStyle w:val="Hyperlink"/>
          <w:b w:val="0"/>
          <w:sz w:val="16"/>
          <w:szCs w:val="16"/>
          <w:u w:val="none"/>
        </w:rPr>
        <w:t>Six Local Enterprise Partnership average GVA per em</w:t>
      </w:r>
      <w:r>
        <w:rPr>
          <w:rStyle w:val="Hyperlink"/>
          <w:b w:val="0"/>
          <w:sz w:val="16"/>
          <w:szCs w:val="16"/>
          <w:u w:val="none"/>
        </w:rPr>
        <w:t>ployee of £57,000 compare to En</w:t>
      </w:r>
      <w:r w:rsidRPr="003D045B">
        <w:rPr>
          <w:rStyle w:val="Hyperlink"/>
          <w:b w:val="0"/>
          <w:sz w:val="16"/>
          <w:szCs w:val="16"/>
          <w:u w:val="none"/>
        </w:rPr>
        <w:t>gland and Wales average of £</w:t>
      </w:r>
      <w:r>
        <w:rPr>
          <w:rStyle w:val="Hyperlink"/>
          <w:b w:val="0"/>
          <w:sz w:val="16"/>
          <w:szCs w:val="16"/>
          <w:u w:val="none"/>
        </w:rPr>
        <w:t>53,0</w:t>
      </w:r>
      <w:r w:rsidRPr="003D045B">
        <w:rPr>
          <w:rStyle w:val="Hyperlink"/>
          <w:b w:val="0"/>
          <w:sz w:val="16"/>
          <w:szCs w:val="16"/>
          <w:u w:val="none"/>
        </w:rPr>
        <w:t>00.</w:t>
      </w:r>
    </w:p>
  </w:endnote>
  <w:endnote w:id="2">
    <w:p w:rsidR="003D045B" w:rsidRPr="0034711D" w:rsidRDefault="003D045B" w:rsidP="0034711D">
      <w:pPr>
        <w:pStyle w:val="EndnoteText"/>
        <w:tabs>
          <w:tab w:val="left" w:pos="284"/>
        </w:tabs>
        <w:ind w:left="284" w:hanging="284"/>
        <w:rPr>
          <w:sz w:val="16"/>
          <w:szCs w:val="16"/>
        </w:rPr>
      </w:pPr>
      <w:r>
        <w:rPr>
          <w:rStyle w:val="EndnoteReference"/>
        </w:rPr>
        <w:endnoteRef/>
      </w:r>
      <w:r>
        <w:t xml:space="preserve"> </w:t>
      </w:r>
      <w:r>
        <w:tab/>
      </w:r>
      <w:r w:rsidRPr="0034711D">
        <w:rPr>
          <w:sz w:val="16"/>
          <w:szCs w:val="16"/>
        </w:rPr>
        <w:t xml:space="preserve">Source: </w:t>
      </w:r>
      <w:r>
        <w:rPr>
          <w:sz w:val="16"/>
          <w:szCs w:val="16"/>
        </w:rPr>
        <w:t>Office for National Statistics GVA for Local Enterprise Partnerships (2014).</w:t>
      </w:r>
    </w:p>
  </w:endnote>
  <w:endnote w:id="3">
    <w:p w:rsidR="00691D90" w:rsidRPr="00DB1178" w:rsidRDefault="00691D90" w:rsidP="00691D90">
      <w:pPr>
        <w:pStyle w:val="EndnoteText"/>
        <w:tabs>
          <w:tab w:val="left" w:pos="284"/>
        </w:tabs>
        <w:ind w:left="284" w:hanging="284"/>
        <w:rPr>
          <w:sz w:val="16"/>
          <w:szCs w:val="16"/>
        </w:rPr>
      </w:pPr>
      <w:r w:rsidRPr="00DB1178">
        <w:rPr>
          <w:rStyle w:val="EndnoteReference"/>
          <w:sz w:val="16"/>
          <w:szCs w:val="16"/>
        </w:rPr>
        <w:endnoteRef/>
      </w:r>
      <w:r w:rsidRPr="00DB1178">
        <w:rPr>
          <w:sz w:val="16"/>
          <w:szCs w:val="16"/>
        </w:rPr>
        <w:t xml:space="preserve"> </w:t>
      </w:r>
      <w:r>
        <w:rPr>
          <w:sz w:val="16"/>
          <w:szCs w:val="16"/>
        </w:rPr>
        <w:tab/>
      </w:r>
      <w:r w:rsidRPr="00DB1178">
        <w:rPr>
          <w:sz w:val="16"/>
          <w:szCs w:val="16"/>
        </w:rPr>
        <w:t>Sour</w:t>
      </w:r>
      <w:r>
        <w:rPr>
          <w:sz w:val="16"/>
          <w:szCs w:val="16"/>
        </w:rPr>
        <w:t>ce: National Trip End Model v7</w:t>
      </w:r>
      <w:r w:rsidRPr="00DB1178">
        <w:rPr>
          <w:sz w:val="16"/>
          <w:szCs w:val="16"/>
        </w:rPr>
        <w:t xml:space="preserve"> (</w:t>
      </w:r>
      <w:r>
        <w:rPr>
          <w:sz w:val="16"/>
          <w:szCs w:val="16"/>
        </w:rPr>
        <w:t>July 2016</w:t>
      </w:r>
      <w:r w:rsidRPr="00DB1178">
        <w:rPr>
          <w:sz w:val="16"/>
          <w:szCs w:val="16"/>
        </w:rPr>
        <w:t>)</w:t>
      </w:r>
      <w:r>
        <w:rPr>
          <w:sz w:val="16"/>
          <w:szCs w:val="16"/>
        </w:rPr>
        <w:t>.</w:t>
      </w:r>
    </w:p>
  </w:endnote>
  <w:endnote w:id="4">
    <w:p w:rsidR="003D045B" w:rsidRPr="00DB1178" w:rsidRDefault="003D045B" w:rsidP="00402A13">
      <w:pPr>
        <w:pStyle w:val="EndnoteText"/>
        <w:tabs>
          <w:tab w:val="left" w:pos="284"/>
        </w:tabs>
        <w:ind w:left="284" w:hanging="284"/>
        <w:rPr>
          <w:sz w:val="16"/>
          <w:szCs w:val="16"/>
        </w:rPr>
      </w:pPr>
      <w:r w:rsidRPr="00DB1178">
        <w:rPr>
          <w:rStyle w:val="EndnoteReference"/>
          <w:sz w:val="16"/>
          <w:szCs w:val="16"/>
        </w:rPr>
        <w:endnoteRef/>
      </w:r>
      <w:r w:rsidRPr="00DB1178">
        <w:rPr>
          <w:sz w:val="16"/>
          <w:szCs w:val="16"/>
        </w:rPr>
        <w:t xml:space="preserve"> </w:t>
      </w:r>
      <w:r>
        <w:rPr>
          <w:sz w:val="16"/>
          <w:szCs w:val="16"/>
        </w:rPr>
        <w:tab/>
      </w:r>
      <w:r w:rsidRPr="00DB1178">
        <w:rPr>
          <w:sz w:val="16"/>
          <w:szCs w:val="16"/>
        </w:rPr>
        <w:t>Source: P2 returns from local authorities for National House-Building Council (NHBC)</w:t>
      </w:r>
      <w:r>
        <w:rPr>
          <w:sz w:val="16"/>
          <w:szCs w:val="16"/>
        </w:rPr>
        <w:t>.</w:t>
      </w:r>
      <w:r w:rsidRPr="00DB1178">
        <w:rPr>
          <w:sz w:val="16"/>
          <w:szCs w:val="16"/>
        </w:rPr>
        <w:t xml:space="preserve"> Table 255: permanent dwellings started and completed, by tenure and Local Enterprise Partnership.</w:t>
      </w:r>
    </w:p>
  </w:endnote>
  <w:endnote w:id="5">
    <w:p w:rsidR="003D045B" w:rsidRDefault="003D045B" w:rsidP="00402A13">
      <w:pPr>
        <w:pStyle w:val="EndnoteText"/>
        <w:tabs>
          <w:tab w:val="left" w:pos="284"/>
        </w:tabs>
        <w:ind w:left="284" w:hanging="284"/>
      </w:pPr>
      <w:r>
        <w:rPr>
          <w:rStyle w:val="EndnoteReference"/>
        </w:rPr>
        <w:endnoteRef/>
      </w:r>
      <w:r>
        <w:t xml:space="preserve"> </w:t>
      </w:r>
      <w:r>
        <w:tab/>
      </w:r>
      <w:r w:rsidRPr="00A627C0">
        <w:rPr>
          <w:sz w:val="16"/>
          <w:szCs w:val="16"/>
          <w:lang w:eastAsia="ar-SA"/>
        </w:rPr>
        <w:t>Fourteen ‘knowledge sectors’ were defined from the Business Register and Employment Survey (BRES) classification, at the 2-digit ‘division’ level, out of a total of 88 2-digit divisions. Such a categorization was adopted through analysis of the Local Economic Plans of the Local Economic Partnership of each city region, and identification of the core knowledge sectors which they target.</w:t>
      </w:r>
      <w:r>
        <w:rPr>
          <w:lang w:eastAsia="ar-SA"/>
        </w:rPr>
        <w:t xml:space="preserve"> </w:t>
      </w:r>
    </w:p>
  </w:endnote>
  <w:endnote w:id="6">
    <w:p w:rsidR="003D045B" w:rsidRPr="00435C8A" w:rsidRDefault="003D045B" w:rsidP="00402A13">
      <w:pPr>
        <w:pStyle w:val="EndnoteText"/>
        <w:tabs>
          <w:tab w:val="left" w:pos="284"/>
        </w:tabs>
        <w:ind w:left="284" w:hanging="284"/>
        <w:rPr>
          <w:sz w:val="16"/>
          <w:szCs w:val="16"/>
        </w:rPr>
      </w:pPr>
      <w:r w:rsidRPr="00435C8A">
        <w:rPr>
          <w:rStyle w:val="EndnoteReference"/>
          <w:sz w:val="16"/>
          <w:szCs w:val="16"/>
        </w:rPr>
        <w:endnoteRef/>
      </w:r>
      <w:r w:rsidRPr="00435C8A">
        <w:rPr>
          <w:sz w:val="16"/>
          <w:szCs w:val="16"/>
        </w:rPr>
        <w:t xml:space="preserve"> </w:t>
      </w:r>
      <w:r>
        <w:rPr>
          <w:sz w:val="16"/>
          <w:szCs w:val="16"/>
        </w:rPr>
        <w:tab/>
        <w:t>Source: Business Register and Employment Survey 2014.</w:t>
      </w:r>
    </w:p>
  </w:endnote>
  <w:endnote w:id="7">
    <w:p w:rsidR="003D045B" w:rsidRPr="00A24419" w:rsidRDefault="003D045B" w:rsidP="00402A13">
      <w:pPr>
        <w:tabs>
          <w:tab w:val="left" w:pos="284"/>
        </w:tabs>
        <w:ind w:left="284" w:hanging="284"/>
        <w:rPr>
          <w:rFonts w:ascii="Calibri" w:eastAsia="Times New Roman" w:hAnsi="Calibri" w:cs="Calibri"/>
          <w:color w:val="auto"/>
          <w:sz w:val="20"/>
          <w:szCs w:val="20"/>
          <w:lang w:eastAsia="en-GB"/>
        </w:rPr>
      </w:pPr>
      <w:r w:rsidRPr="00435C8A">
        <w:rPr>
          <w:rStyle w:val="EndnoteReference"/>
          <w:sz w:val="16"/>
          <w:szCs w:val="16"/>
        </w:rPr>
        <w:endnoteRef/>
      </w:r>
      <w:r>
        <w:rPr>
          <w:sz w:val="16"/>
          <w:szCs w:val="16"/>
        </w:rPr>
        <w:tab/>
      </w:r>
      <w:r w:rsidRPr="00C14D29">
        <w:rPr>
          <w:sz w:val="16"/>
          <w:szCs w:val="16"/>
        </w:rPr>
        <w:t xml:space="preserve">Source: Times / Sunday Times 2016 Ranking for UK Universities: </w:t>
      </w:r>
      <w:hyperlink r:id="rId1" w:history="1">
        <w:r w:rsidRPr="00C14D29">
          <w:rPr>
            <w:rStyle w:val="Hyperlink"/>
            <w:sz w:val="16"/>
            <w:szCs w:val="16"/>
          </w:rPr>
          <w:t>https://www.ukuni.net/articles/UK-University-Ranking-2016-Times</w:t>
        </w:r>
      </w:hyperlink>
      <w:r w:rsidRPr="00C14D29">
        <w:rPr>
          <w:sz w:val="16"/>
          <w:szCs w:val="16"/>
        </w:rPr>
        <w:t xml:space="preserve"> (accessed 27 July 2016) and Times Higher Education 2016 Rankings for World Universities: </w:t>
      </w:r>
      <w:hyperlink r:id="rId2" w:history="1">
        <w:r w:rsidRPr="00C14D29">
          <w:rPr>
            <w:rStyle w:val="Hyperlink"/>
            <w:rFonts w:ascii="Calibri" w:eastAsia="Times New Roman" w:hAnsi="Calibri" w:cs="Calibri"/>
            <w:sz w:val="16"/>
            <w:szCs w:val="16"/>
            <w:lang w:eastAsia="en-GB"/>
          </w:rPr>
          <w:t>https://www.timeshighereducation.com/world-university-rankings</w:t>
        </w:r>
      </w:hyperlink>
      <w:r w:rsidRPr="00C14D29">
        <w:rPr>
          <w:rFonts w:ascii="Calibri" w:eastAsia="Times New Roman" w:hAnsi="Calibri" w:cs="Calibri"/>
          <w:color w:val="auto"/>
          <w:sz w:val="16"/>
          <w:szCs w:val="16"/>
          <w:lang w:eastAsia="en-GB"/>
        </w:rPr>
        <w:t xml:space="preserve"> </w:t>
      </w:r>
      <w:r w:rsidRPr="00C14D29">
        <w:rPr>
          <w:sz w:val="16"/>
          <w:szCs w:val="16"/>
        </w:rPr>
        <w:t>(accessed 27 July 2016).</w:t>
      </w:r>
    </w:p>
  </w:endnote>
  <w:endnote w:id="8">
    <w:p w:rsidR="003D045B" w:rsidRPr="00435C8A" w:rsidRDefault="003D045B" w:rsidP="00402A13">
      <w:pPr>
        <w:pStyle w:val="EndnoteText"/>
        <w:tabs>
          <w:tab w:val="left" w:pos="284"/>
        </w:tabs>
        <w:ind w:left="284" w:hanging="284"/>
        <w:rPr>
          <w:sz w:val="16"/>
          <w:szCs w:val="16"/>
        </w:rPr>
      </w:pPr>
      <w:r w:rsidRPr="00435C8A">
        <w:rPr>
          <w:rStyle w:val="EndnoteReference"/>
          <w:sz w:val="16"/>
          <w:szCs w:val="16"/>
        </w:rPr>
        <w:endnoteRef/>
      </w:r>
      <w:r w:rsidRPr="00435C8A">
        <w:rPr>
          <w:sz w:val="16"/>
          <w:szCs w:val="16"/>
        </w:rPr>
        <w:t xml:space="preserve"> </w:t>
      </w:r>
      <w:r>
        <w:rPr>
          <w:sz w:val="16"/>
          <w:szCs w:val="16"/>
        </w:rPr>
        <w:tab/>
      </w:r>
      <w:r w:rsidRPr="00435C8A">
        <w:rPr>
          <w:sz w:val="16"/>
          <w:szCs w:val="16"/>
        </w:rPr>
        <w:t>Source: Intellectual Property Office 2015, Freedom of Information release: Patents granted registered by postcode, 2014 data, NOMIS 2015. From Cities Outlook 2016 (Centre for Cities, 2016)</w:t>
      </w:r>
    </w:p>
  </w:endnote>
  <w:endnote w:id="9">
    <w:p w:rsidR="003D045B" w:rsidRPr="00435C8A" w:rsidRDefault="003D045B" w:rsidP="00402A13">
      <w:pPr>
        <w:pStyle w:val="EndnoteText"/>
        <w:tabs>
          <w:tab w:val="left" w:pos="284"/>
        </w:tabs>
        <w:ind w:left="284" w:hanging="284"/>
        <w:rPr>
          <w:sz w:val="16"/>
          <w:szCs w:val="16"/>
        </w:rPr>
      </w:pPr>
      <w:r w:rsidRPr="00435C8A">
        <w:rPr>
          <w:rStyle w:val="EndnoteReference"/>
          <w:sz w:val="16"/>
          <w:szCs w:val="16"/>
        </w:rPr>
        <w:endnoteRef/>
      </w:r>
      <w:r w:rsidRPr="00435C8A">
        <w:rPr>
          <w:sz w:val="16"/>
          <w:szCs w:val="16"/>
        </w:rPr>
        <w:t xml:space="preserve"> </w:t>
      </w:r>
      <w:r>
        <w:rPr>
          <w:sz w:val="16"/>
          <w:szCs w:val="16"/>
        </w:rPr>
        <w:tab/>
        <w:t>Source: 2011 Census. Local Area Analysis of Qualification across England and Wales - highest level of qualification by country of birth by age.</w:t>
      </w:r>
    </w:p>
  </w:endnote>
  <w:endnote w:id="10">
    <w:p w:rsidR="003D045B" w:rsidRPr="00435C8A" w:rsidRDefault="003D045B" w:rsidP="00402A13">
      <w:pPr>
        <w:pStyle w:val="EndnoteText"/>
        <w:tabs>
          <w:tab w:val="left" w:pos="284"/>
        </w:tabs>
        <w:ind w:left="284" w:hanging="284"/>
        <w:rPr>
          <w:sz w:val="16"/>
          <w:szCs w:val="16"/>
        </w:rPr>
      </w:pPr>
      <w:r w:rsidRPr="00435C8A">
        <w:rPr>
          <w:rStyle w:val="EndnoteReference"/>
          <w:sz w:val="16"/>
          <w:szCs w:val="16"/>
        </w:rPr>
        <w:endnoteRef/>
      </w:r>
      <w:r w:rsidRPr="00435C8A">
        <w:rPr>
          <w:sz w:val="16"/>
          <w:szCs w:val="16"/>
        </w:rPr>
        <w:t xml:space="preserve"> </w:t>
      </w:r>
      <w:r>
        <w:rPr>
          <w:sz w:val="16"/>
          <w:szCs w:val="16"/>
        </w:rPr>
        <w:tab/>
      </w:r>
      <w:r w:rsidRPr="00435C8A">
        <w:rPr>
          <w:sz w:val="16"/>
          <w:szCs w:val="16"/>
        </w:rPr>
        <w:t xml:space="preserve">Source: 2100 Census. </w:t>
      </w:r>
      <w:r w:rsidRPr="00435C8A">
        <w:rPr>
          <w:sz w:val="16"/>
          <w:szCs w:val="16"/>
          <w:lang w:eastAsia="ar-SA"/>
        </w:rPr>
        <w:t>The following town and cities have a population of 75,000 or more in descending population: Northampton 215,000, Luton 211,000, Milton Keynes 172,000, Peterborough 162,000, Oxford 160,000, Cambridge 146,000, Watford 132,000, High Wycombe 120,000, Hemel Hempstead 95,000, Stevenage 90,000, and St Albans 82,000.</w:t>
      </w:r>
    </w:p>
  </w:endnote>
  <w:endnote w:id="11">
    <w:p w:rsidR="003D045B" w:rsidRDefault="003D045B" w:rsidP="00402A13">
      <w:pPr>
        <w:pStyle w:val="EndnoteText"/>
        <w:tabs>
          <w:tab w:val="left" w:pos="284"/>
        </w:tabs>
        <w:ind w:left="284" w:hanging="284"/>
      </w:pPr>
      <w:r w:rsidRPr="00435C8A">
        <w:rPr>
          <w:rStyle w:val="EndnoteReference"/>
          <w:sz w:val="16"/>
          <w:szCs w:val="16"/>
        </w:rPr>
        <w:endnoteRef/>
      </w:r>
      <w:r w:rsidRPr="00435C8A">
        <w:rPr>
          <w:sz w:val="16"/>
          <w:szCs w:val="16"/>
        </w:rPr>
        <w:t xml:space="preserve"> </w:t>
      </w:r>
      <w:r>
        <w:rPr>
          <w:sz w:val="16"/>
          <w:szCs w:val="16"/>
        </w:rPr>
        <w:tab/>
      </w:r>
      <w:r w:rsidRPr="00435C8A">
        <w:rPr>
          <w:sz w:val="16"/>
          <w:szCs w:val="16"/>
        </w:rPr>
        <w:t xml:space="preserve">Source: </w:t>
      </w:r>
      <w:hyperlink r:id="rId3" w:history="1">
        <w:r w:rsidRPr="00435C8A">
          <w:rPr>
            <w:rStyle w:val="Hyperlink"/>
            <w:sz w:val="16"/>
            <w:szCs w:val="16"/>
          </w:rPr>
          <w:t>www.thetrainline.com</w:t>
        </w:r>
      </w:hyperlink>
      <w:r w:rsidRPr="00435C8A">
        <w:rPr>
          <w:sz w:val="16"/>
          <w:szCs w:val="16"/>
        </w:rPr>
        <w:t xml:space="preserve"> (accessed 27 July 2016) for </w:t>
      </w:r>
      <w:r>
        <w:rPr>
          <w:sz w:val="16"/>
          <w:szCs w:val="16"/>
        </w:rPr>
        <w:t xml:space="preserve">an hour between </w:t>
      </w:r>
      <w:r w:rsidRPr="00435C8A">
        <w:rPr>
          <w:sz w:val="16"/>
          <w:szCs w:val="16"/>
        </w:rPr>
        <w:t xml:space="preserve">7:30am to </w:t>
      </w:r>
      <w:r>
        <w:rPr>
          <w:sz w:val="16"/>
          <w:szCs w:val="16"/>
        </w:rPr>
        <w:t>9</w:t>
      </w:r>
      <w:r w:rsidRPr="00435C8A">
        <w:rPr>
          <w:sz w:val="16"/>
          <w:szCs w:val="16"/>
        </w:rPr>
        <w:t>:</w:t>
      </w:r>
      <w:r>
        <w:rPr>
          <w:sz w:val="16"/>
          <w:szCs w:val="16"/>
        </w:rPr>
        <w:t>0</w:t>
      </w:r>
      <w:r w:rsidRPr="00435C8A">
        <w:rPr>
          <w:sz w:val="16"/>
          <w:szCs w:val="16"/>
        </w:rPr>
        <w:t>0am departing to a London Terminus on 28 July 2016.</w:t>
      </w:r>
    </w:p>
  </w:endnote>
  <w:endnote w:id="12">
    <w:p w:rsidR="003D045B" w:rsidRDefault="003D045B" w:rsidP="00402A13">
      <w:pPr>
        <w:pStyle w:val="EndnoteText"/>
        <w:tabs>
          <w:tab w:val="left" w:pos="284"/>
        </w:tabs>
        <w:ind w:left="284" w:hanging="284"/>
      </w:pPr>
      <w:r>
        <w:rPr>
          <w:rStyle w:val="EndnoteReference"/>
        </w:rPr>
        <w:endnoteRef/>
      </w:r>
      <w:r>
        <w:tab/>
      </w:r>
      <w:r w:rsidRPr="00BE534A">
        <w:rPr>
          <w:sz w:val="16"/>
        </w:rPr>
        <w:t>Source: Google Maps without traffic drive-times (accessed 27 July 2016). Longest drive-time: Peterborough to London Stansted Airport 61 minutes.</w:t>
      </w:r>
    </w:p>
  </w:endnote>
  <w:endnote w:id="13">
    <w:p w:rsidR="003D045B" w:rsidRDefault="003D045B" w:rsidP="00402A13">
      <w:pPr>
        <w:pStyle w:val="EndnoteText"/>
        <w:tabs>
          <w:tab w:val="left" w:pos="284"/>
        </w:tabs>
        <w:ind w:left="284" w:hanging="284"/>
      </w:pPr>
      <w:r>
        <w:rPr>
          <w:rStyle w:val="EndnoteReference"/>
        </w:rPr>
        <w:endnoteRef/>
      </w:r>
      <w:r>
        <w:t xml:space="preserve"> </w:t>
      </w:r>
      <w:r>
        <w:tab/>
      </w:r>
      <w:r>
        <w:rPr>
          <w:sz w:val="16"/>
          <w:szCs w:val="16"/>
        </w:rPr>
        <w:t>Source: Price to earnings ratio data, R</w:t>
      </w:r>
      <w:r w:rsidRPr="004A3744">
        <w:rPr>
          <w:sz w:val="16"/>
          <w:szCs w:val="16"/>
        </w:rPr>
        <w:t>atio of median house price to median earnings by Local Authority</w:t>
      </w:r>
      <w:r>
        <w:rPr>
          <w:sz w:val="16"/>
          <w:szCs w:val="16"/>
        </w:rPr>
        <w:t>, Department for Communities and Local Government 2013.</w:t>
      </w:r>
    </w:p>
  </w:endnote>
  <w:endnote w:id="14">
    <w:p w:rsidR="003D045B" w:rsidRDefault="003D045B" w:rsidP="0034711D">
      <w:pPr>
        <w:pStyle w:val="EndnoteText"/>
        <w:tabs>
          <w:tab w:val="left" w:pos="284"/>
        </w:tabs>
        <w:ind w:left="284" w:hanging="284"/>
      </w:pPr>
      <w:r>
        <w:rPr>
          <w:rStyle w:val="EndnoteReference"/>
        </w:rPr>
        <w:endnoteRef/>
      </w:r>
      <w:r>
        <w:t xml:space="preserve"> </w:t>
      </w:r>
      <w:r>
        <w:tab/>
      </w:r>
      <w:r w:rsidRPr="00435C8A">
        <w:rPr>
          <w:sz w:val="16"/>
          <w:szCs w:val="16"/>
        </w:rPr>
        <w:t xml:space="preserve">Source: </w:t>
      </w:r>
      <w:hyperlink r:id="rId4" w:history="1">
        <w:r w:rsidRPr="00EB5BC5">
          <w:rPr>
            <w:rStyle w:val="Hyperlink"/>
            <w:sz w:val="16"/>
            <w:szCs w:val="16"/>
          </w:rPr>
          <w:t>https://www.google.co.uk/maps</w:t>
        </w:r>
      </w:hyperlink>
      <w:r>
        <w:rPr>
          <w:sz w:val="16"/>
          <w:szCs w:val="16"/>
        </w:rPr>
        <w:t xml:space="preserve"> (accessed 27 June 2016) for 8:00am drive-times on 28 July 2016 and road distances. </w:t>
      </w:r>
      <w:hyperlink r:id="rId5" w:history="1">
        <w:r w:rsidRPr="00435C8A">
          <w:rPr>
            <w:rStyle w:val="Hyperlink"/>
            <w:sz w:val="16"/>
            <w:szCs w:val="16"/>
          </w:rPr>
          <w:t>www.thetrainline.com</w:t>
        </w:r>
      </w:hyperlink>
      <w:r w:rsidRPr="00435C8A">
        <w:rPr>
          <w:sz w:val="16"/>
          <w:szCs w:val="16"/>
        </w:rPr>
        <w:t xml:space="preserve"> (accessed 27 July 2016) for </w:t>
      </w:r>
      <w:r>
        <w:rPr>
          <w:sz w:val="16"/>
          <w:szCs w:val="16"/>
        </w:rPr>
        <w:t xml:space="preserve">average train times between </w:t>
      </w:r>
      <w:r w:rsidRPr="00435C8A">
        <w:rPr>
          <w:sz w:val="16"/>
          <w:szCs w:val="16"/>
        </w:rPr>
        <w:t xml:space="preserve">7:30am to </w:t>
      </w:r>
      <w:r>
        <w:rPr>
          <w:sz w:val="16"/>
          <w:szCs w:val="16"/>
        </w:rPr>
        <w:t>9</w:t>
      </w:r>
      <w:r w:rsidRPr="00435C8A">
        <w:rPr>
          <w:sz w:val="16"/>
          <w:szCs w:val="16"/>
        </w:rPr>
        <w:t>:</w:t>
      </w:r>
      <w:r>
        <w:rPr>
          <w:sz w:val="16"/>
          <w:szCs w:val="16"/>
        </w:rPr>
        <w:t>0</w:t>
      </w:r>
      <w:r w:rsidRPr="00435C8A">
        <w:rPr>
          <w:sz w:val="16"/>
          <w:szCs w:val="16"/>
        </w:rPr>
        <w:t>0am on 28 July 2016.</w:t>
      </w:r>
      <w:r>
        <w:rPr>
          <w:sz w:val="16"/>
          <w:szCs w:val="16"/>
        </w:rPr>
        <w:t xml:space="preserve"> </w:t>
      </w:r>
      <w:hyperlink r:id="rId6" w:history="1">
        <w:r w:rsidRPr="00EB5BC5">
          <w:rPr>
            <w:rStyle w:val="Hyperlink"/>
            <w:sz w:val="16"/>
            <w:szCs w:val="16"/>
          </w:rPr>
          <w:t>https://www.google.com/earth/</w:t>
        </w:r>
      </w:hyperlink>
      <w:r>
        <w:rPr>
          <w:sz w:val="16"/>
          <w:szCs w:val="16"/>
        </w:rPr>
        <w:t xml:space="preserve"> </w:t>
      </w:r>
      <w:r w:rsidRPr="00435C8A">
        <w:rPr>
          <w:sz w:val="16"/>
          <w:szCs w:val="16"/>
        </w:rPr>
        <w:t>(accessed 27 July 2016) for</w:t>
      </w:r>
      <w:r>
        <w:rPr>
          <w:sz w:val="16"/>
          <w:szCs w:val="16"/>
        </w:rPr>
        <w:t xml:space="preserve"> ‘straight line’ distances used for rail speeds.</w:t>
      </w:r>
    </w:p>
  </w:endnote>
  <w:endnote w:id="15">
    <w:p w:rsidR="003D045B" w:rsidRDefault="003D045B" w:rsidP="00402A13">
      <w:pPr>
        <w:pStyle w:val="EndnoteText"/>
        <w:tabs>
          <w:tab w:val="left" w:pos="284"/>
        </w:tabs>
        <w:ind w:left="284" w:hanging="284"/>
      </w:pPr>
      <w:r>
        <w:rPr>
          <w:rStyle w:val="EndnoteReference"/>
        </w:rPr>
        <w:endnoteRef/>
      </w:r>
      <w:r>
        <w:t xml:space="preserve"> </w:t>
      </w:r>
      <w:r>
        <w:tab/>
      </w:r>
      <w:r w:rsidRPr="006C25E0">
        <w:rPr>
          <w:sz w:val="16"/>
          <w:highlight w:val="yellow"/>
        </w:rPr>
        <w:t>NEED LEP DATA.</w:t>
      </w:r>
    </w:p>
  </w:endnote>
  <w:endnote w:id="16">
    <w:p w:rsidR="003D045B" w:rsidRPr="00435C8A" w:rsidRDefault="003D045B" w:rsidP="0034711D">
      <w:pPr>
        <w:pStyle w:val="EndnoteText"/>
        <w:tabs>
          <w:tab w:val="left" w:pos="284"/>
        </w:tabs>
        <w:ind w:left="284" w:hanging="284"/>
        <w:rPr>
          <w:sz w:val="16"/>
          <w:szCs w:val="16"/>
        </w:rPr>
      </w:pPr>
      <w:r w:rsidRPr="00435C8A">
        <w:rPr>
          <w:rStyle w:val="EndnoteReference"/>
          <w:sz w:val="16"/>
          <w:szCs w:val="16"/>
        </w:rPr>
        <w:endnoteRef/>
      </w:r>
      <w:r w:rsidRPr="00435C8A">
        <w:rPr>
          <w:sz w:val="16"/>
          <w:szCs w:val="16"/>
        </w:rPr>
        <w:t xml:space="preserve"> </w:t>
      </w:r>
      <w:r>
        <w:rPr>
          <w:sz w:val="16"/>
          <w:szCs w:val="16"/>
        </w:rPr>
        <w:tab/>
      </w:r>
      <w:r w:rsidRPr="00DB1178">
        <w:rPr>
          <w:sz w:val="16"/>
          <w:szCs w:val="16"/>
        </w:rPr>
        <w:t>Source: Average annual population by NUTS 3 regions and gross domestic product (GDP) at current market prices by NUTS 3 regions from Eurostat</w:t>
      </w:r>
      <w:r w:rsidRPr="00DB1178">
        <w:rPr>
          <w:rStyle w:val="Hyperlink"/>
          <w:b w:val="0"/>
          <w:sz w:val="16"/>
          <w:szCs w:val="16"/>
          <w:u w:val="none"/>
        </w:rPr>
        <w:t>.</w:t>
      </w:r>
    </w:p>
  </w:endnote>
  <w:endnote w:id="17">
    <w:p w:rsidR="003D045B" w:rsidRDefault="003D045B" w:rsidP="0034711D">
      <w:pPr>
        <w:pStyle w:val="EndnoteText"/>
        <w:tabs>
          <w:tab w:val="left" w:pos="284"/>
        </w:tabs>
        <w:ind w:left="284" w:hanging="284"/>
      </w:pPr>
      <w:r>
        <w:rPr>
          <w:rStyle w:val="EndnoteReference"/>
        </w:rPr>
        <w:endnoteRef/>
      </w:r>
      <w:r>
        <w:t xml:space="preserve"> </w:t>
      </w:r>
      <w:r>
        <w:tab/>
      </w:r>
      <w:r w:rsidRPr="002644B8">
        <w:rPr>
          <w:sz w:val="16"/>
          <w:szCs w:val="16"/>
        </w:rPr>
        <w:t xml:space="preserve">Source: Wikipedia for </w:t>
      </w:r>
      <w:proofErr w:type="spellStart"/>
      <w:r w:rsidRPr="002644B8">
        <w:rPr>
          <w:sz w:val="16"/>
          <w:szCs w:val="16"/>
        </w:rPr>
        <w:t>Rheinland</w:t>
      </w:r>
      <w:proofErr w:type="spellEnd"/>
      <w:r w:rsidRPr="002644B8">
        <w:rPr>
          <w:sz w:val="16"/>
          <w:szCs w:val="16"/>
        </w:rPr>
        <w:t xml:space="preserve">-Palatinate </w:t>
      </w:r>
      <w:hyperlink r:id="rId7" w:history="1">
        <w:r w:rsidRPr="002644B8">
          <w:rPr>
            <w:rStyle w:val="Hyperlink"/>
            <w:sz w:val="16"/>
            <w:szCs w:val="16"/>
          </w:rPr>
          <w:t>https://en.wikipedia.org/wiki/Rhineland-Palatinate</w:t>
        </w:r>
      </w:hyperlink>
      <w:r w:rsidRPr="002644B8">
        <w:rPr>
          <w:sz w:val="16"/>
          <w:szCs w:val="16"/>
        </w:rPr>
        <w:t xml:space="preserve"> (access 27 July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5B" w:rsidRPr="000240EA" w:rsidRDefault="003D045B" w:rsidP="000240EA">
    <w:pPr>
      <w:pStyle w:val="Footer"/>
    </w:pPr>
    <w:r>
      <w:rPr>
        <w:noProof/>
        <w:lang w:eastAsia="en-GB"/>
      </w:rPr>
      <w:drawing>
        <wp:inline distT="0" distB="0" distL="0" distR="0" wp14:anchorId="0C6803F6" wp14:editId="0D6CBCAD">
          <wp:extent cx="1108800" cy="118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8800" cy="118440"/>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D66DFB">
      <w:rPr>
        <w:noProof/>
      </w:rPr>
      <w:t>10</w:t>
    </w:r>
    <w:r>
      <w:fldChar w:fldCharType="end"/>
    </w:r>
    <w:r>
      <w:t xml:space="preserve"> </w:t>
    </w:r>
    <w:bookmarkStart w:id="0" w:name="bmkOf"/>
    <w:r>
      <w:t>of</w:t>
    </w:r>
    <w:bookmarkEnd w:id="0"/>
    <w:r>
      <w:t xml:space="preserve"> </w:t>
    </w:r>
    <w:r w:rsidR="00E240B8">
      <w:fldChar w:fldCharType="begin"/>
    </w:r>
    <w:r w:rsidR="00E240B8">
      <w:instrText xml:space="preserve"> numpages </w:instrText>
    </w:r>
    <w:r w:rsidR="00E240B8">
      <w:fldChar w:fldCharType="separate"/>
    </w:r>
    <w:r w:rsidR="00D66DFB">
      <w:rPr>
        <w:noProof/>
      </w:rPr>
      <w:t>12</w:t>
    </w:r>
    <w:r w:rsidR="00E240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0B8" w:rsidRDefault="00E240B8" w:rsidP="00397A4D">
      <w:pPr>
        <w:spacing w:after="0" w:line="240" w:lineRule="auto"/>
      </w:pPr>
      <w:r>
        <w:separator/>
      </w:r>
    </w:p>
  </w:footnote>
  <w:footnote w:type="continuationSeparator" w:id="0">
    <w:p w:rsidR="00E240B8" w:rsidRDefault="00E240B8" w:rsidP="00397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20E20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E08230C"/>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27B2210A"/>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09BE1B9C"/>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8"/>
    <w:multiLevelType w:val="singleLevel"/>
    <w:tmpl w:val="A886BBD6"/>
    <w:lvl w:ilvl="0">
      <w:start w:val="1"/>
      <w:numFmt w:val="decimal"/>
      <w:lvlText w:val="%1."/>
      <w:lvlJc w:val="left"/>
      <w:pPr>
        <w:tabs>
          <w:tab w:val="num" w:pos="360"/>
        </w:tabs>
        <w:ind w:left="360" w:hanging="360"/>
      </w:pPr>
    </w:lvl>
  </w:abstractNum>
  <w:abstractNum w:abstractNumId="5">
    <w:nsid w:val="030206FE"/>
    <w:multiLevelType w:val="multilevel"/>
    <w:tmpl w:val="B7AAA946"/>
    <w:styleLink w:val="SDGHeadings"/>
    <w:lvl w:ilvl="0">
      <w:start w:val="1"/>
      <w:numFmt w:val="decimal"/>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3C97294"/>
    <w:multiLevelType w:val="multilevel"/>
    <w:tmpl w:val="7A8E004E"/>
    <w:numStyleLink w:val="SDGAppendixHeadings"/>
  </w:abstractNum>
  <w:abstractNum w:abstractNumId="7">
    <w:nsid w:val="0B6C6902"/>
    <w:multiLevelType w:val="multilevel"/>
    <w:tmpl w:val="3A8682E6"/>
    <w:styleLink w:val="SDGListNumbers"/>
    <w:lvl w:ilvl="0">
      <w:start w:val="1"/>
      <w:numFmt w:val="decimal"/>
      <w:lvlRestart w:val="0"/>
      <w:pStyle w:val="ListNumber"/>
      <w:lvlText w:val="%1."/>
      <w:lvlJc w:val="left"/>
      <w:pPr>
        <w:ind w:left="397" w:hanging="397"/>
      </w:pPr>
      <w:rPr>
        <w:rFonts w:hint="default"/>
      </w:rPr>
    </w:lvl>
    <w:lvl w:ilvl="1">
      <w:start w:val="1"/>
      <w:numFmt w:val="lowerRoman"/>
      <w:pStyle w:val="ListNumber2"/>
      <w:lvlText w:val="%2."/>
      <w:lvlJc w:val="left"/>
      <w:pPr>
        <w:ind w:left="794" w:hanging="397"/>
      </w:pPr>
      <w:rPr>
        <w:rFonts w:hint="default"/>
      </w:rPr>
    </w:lvl>
    <w:lvl w:ilvl="2">
      <w:start w:val="1"/>
      <w:numFmt w:val="lowerLetter"/>
      <w:pStyle w:val="ListNumber3"/>
      <w:lvlText w:val="%3."/>
      <w:lvlJc w:val="left"/>
      <w:pPr>
        <w:ind w:left="1191" w:hanging="397"/>
      </w:pPr>
      <w:rPr>
        <w:rFonts w:hint="default"/>
      </w:rPr>
    </w:lvl>
    <w:lvl w:ilvl="3">
      <w:start w:val="1"/>
      <w:numFmt w:val="decimal"/>
      <w:lvlRestart w:val="1"/>
      <w:lvlText w:val="%1.%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8">
    <w:nsid w:val="122412EB"/>
    <w:multiLevelType w:val="hybridMultilevel"/>
    <w:tmpl w:val="5F7A38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3B8262D"/>
    <w:multiLevelType w:val="hybridMultilevel"/>
    <w:tmpl w:val="CF7C7F4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182A2AC8"/>
    <w:multiLevelType w:val="multilevel"/>
    <w:tmpl w:val="7A8E004E"/>
    <w:styleLink w:val="SDGAppendixHeadings"/>
    <w:lvl w:ilvl="0">
      <w:start w:val="1"/>
      <w:numFmt w:val="upperLetter"/>
      <w:pStyle w:val="Heading7"/>
      <w:lvlText w:val="%1"/>
      <w:lvlJc w:val="left"/>
      <w:pPr>
        <w:ind w:left="0" w:hanging="567"/>
      </w:pPr>
      <w:rPr>
        <w:rFonts w:hint="default"/>
      </w:rPr>
    </w:lvl>
    <w:lvl w:ilvl="1">
      <w:start w:val="1"/>
      <w:numFmt w:val="decimal"/>
      <w:pStyle w:val="Heading8"/>
      <w:lvlText w:val="%1%2"/>
      <w:lvlJc w:val="left"/>
      <w:pPr>
        <w:ind w:left="0" w:hanging="567"/>
      </w:pPr>
      <w:rPr>
        <w:rFonts w:hint="default"/>
      </w:rPr>
    </w:lvl>
    <w:lvl w:ilvl="2">
      <w:start w:val="1"/>
      <w:numFmt w:val="decimal"/>
      <w:pStyle w:val="Heading9"/>
      <w:lvlText w:val="%1%2.%3"/>
      <w:lvlJc w:val="left"/>
      <w:pPr>
        <w:ind w:left="0" w:hanging="567"/>
      </w:pPr>
      <w:rPr>
        <w:rFonts w:hint="default"/>
      </w:rPr>
    </w:lvl>
    <w:lvl w:ilvl="3">
      <w:start w:val="1"/>
      <w:numFmt w:val="decimal"/>
      <w:lvlText w:val="(%4)"/>
      <w:lvlJc w:val="left"/>
      <w:pPr>
        <w:ind w:left="0" w:hanging="567"/>
      </w:pPr>
      <w:rPr>
        <w:rFonts w:hint="default"/>
      </w:rPr>
    </w:lvl>
    <w:lvl w:ilvl="4">
      <w:start w:val="1"/>
      <w:numFmt w:val="lowerLetter"/>
      <w:lvlText w:val="(%5)"/>
      <w:lvlJc w:val="left"/>
      <w:pPr>
        <w:ind w:left="0" w:hanging="567"/>
      </w:pPr>
      <w:rPr>
        <w:rFonts w:hint="default"/>
      </w:rPr>
    </w:lvl>
    <w:lvl w:ilvl="5">
      <w:start w:val="1"/>
      <w:numFmt w:val="lowerRoman"/>
      <w:lvlText w:val="(%6)"/>
      <w:lvlJc w:val="left"/>
      <w:pPr>
        <w:ind w:left="0" w:hanging="567"/>
      </w:pPr>
      <w:rPr>
        <w:rFonts w:hint="default"/>
      </w:rPr>
    </w:lvl>
    <w:lvl w:ilvl="6">
      <w:start w:val="1"/>
      <w:numFmt w:val="decimal"/>
      <w:lvlText w:val="%7."/>
      <w:lvlJc w:val="left"/>
      <w:pPr>
        <w:ind w:left="0" w:hanging="567"/>
      </w:pPr>
      <w:rPr>
        <w:rFonts w:hint="default"/>
      </w:rPr>
    </w:lvl>
    <w:lvl w:ilvl="7">
      <w:start w:val="1"/>
      <w:numFmt w:val="lowerLetter"/>
      <w:lvlText w:val="%8."/>
      <w:lvlJc w:val="left"/>
      <w:pPr>
        <w:ind w:left="0" w:hanging="567"/>
      </w:pPr>
      <w:rPr>
        <w:rFonts w:hint="default"/>
      </w:rPr>
    </w:lvl>
    <w:lvl w:ilvl="8">
      <w:start w:val="1"/>
      <w:numFmt w:val="lowerRoman"/>
      <w:lvlText w:val="%9."/>
      <w:lvlJc w:val="left"/>
      <w:pPr>
        <w:ind w:left="0" w:hanging="567"/>
      </w:pPr>
      <w:rPr>
        <w:rFonts w:hint="default"/>
      </w:rPr>
    </w:lvl>
  </w:abstractNum>
  <w:abstractNum w:abstractNumId="11">
    <w:nsid w:val="1DF03B8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33654C2"/>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3432305D"/>
    <w:multiLevelType w:val="multilevel"/>
    <w:tmpl w:val="15C6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1C292F"/>
    <w:multiLevelType w:val="hybridMultilevel"/>
    <w:tmpl w:val="36082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nsid w:val="45841102"/>
    <w:multiLevelType w:val="multilevel"/>
    <w:tmpl w:val="C2EA0890"/>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numFmt w:val="bullet"/>
      <w:lvlText w:val="•"/>
      <w:lvlJc w:val="left"/>
      <w:pPr>
        <w:ind w:left="3240" w:hanging="720"/>
      </w:pPr>
      <w:rPr>
        <w:rFonts w:ascii="Arial" w:eastAsia="Times New Roman" w:hAnsi="Arial"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74524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4D70F7A"/>
    <w:multiLevelType w:val="multilevel"/>
    <w:tmpl w:val="A3A4749C"/>
    <w:styleLink w:val="SDGBullets"/>
    <w:lvl w:ilvl="0">
      <w:start w:val="1"/>
      <w:numFmt w:val="bullet"/>
      <w:pStyle w:val="ListBullet"/>
      <w:lvlText w:val=""/>
      <w:lvlJc w:val="left"/>
      <w:pPr>
        <w:ind w:left="397" w:hanging="397"/>
      </w:pPr>
      <w:rPr>
        <w:rFonts w:ascii="Symbol" w:hAnsi="Symbol" w:hint="default"/>
        <w:color w:val="AE1031" w:themeColor="text2"/>
      </w:rPr>
    </w:lvl>
    <w:lvl w:ilvl="1">
      <w:start w:val="1"/>
      <w:numFmt w:val="bullet"/>
      <w:pStyle w:val="ListBullet2"/>
      <w:lvlText w:val=""/>
      <w:lvlJc w:val="left"/>
      <w:pPr>
        <w:ind w:left="794" w:hanging="397"/>
      </w:pPr>
      <w:rPr>
        <w:rFonts w:ascii="Symbol" w:hAnsi="Symbol" w:hint="default"/>
        <w:color w:val="57626E" w:themeColor="background2"/>
      </w:rPr>
    </w:lvl>
    <w:lvl w:ilvl="2">
      <w:start w:val="1"/>
      <w:numFmt w:val="bullet"/>
      <w:pStyle w:val="ListBullet3"/>
      <w:lvlText w:val="-"/>
      <w:lvlJc w:val="left"/>
      <w:pPr>
        <w:ind w:left="1191" w:hanging="397"/>
      </w:pPr>
      <w:rPr>
        <w:rFonts w:ascii="Calibri" w:hAnsi="Calibri" w:hint="default"/>
        <w:color w:val="57626E" w:themeColor="background2"/>
      </w:rPr>
    </w:lvl>
    <w:lvl w:ilvl="3">
      <w:start w:val="1"/>
      <w:numFmt w:val="bullet"/>
      <w:lvlText w:val="‟"/>
      <w:lvlJc w:val="left"/>
      <w:pPr>
        <w:ind w:left="1588" w:hanging="397"/>
      </w:pPr>
      <w:rPr>
        <w:rFonts w:ascii="Calibri" w:hAnsi="Calibri" w:hint="default"/>
        <w:color w:val="AE1031"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18">
    <w:nsid w:val="5AE971BE"/>
    <w:multiLevelType w:val="multilevel"/>
    <w:tmpl w:val="C030A7C4"/>
    <w:name w:val="SDG Headings"/>
    <w:lvl w:ilvl="0">
      <w:start w:val="1"/>
      <w:numFmt w:val="decimal"/>
      <w:lvlRestart w:val="0"/>
      <w:pStyle w:val="Heading1"/>
      <w:lvlText w:val="%1"/>
      <w:lvlJc w:val="left"/>
      <w:pPr>
        <w:ind w:left="0" w:hanging="850"/>
      </w:p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decimal"/>
      <w:lvlRestart w:val="1"/>
      <w:pStyle w:val="NormalNumbered"/>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BBD235C"/>
    <w:multiLevelType w:val="hybridMultilevel"/>
    <w:tmpl w:val="5DA05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CB60BBD"/>
    <w:multiLevelType w:val="multilevel"/>
    <w:tmpl w:val="EA0E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56450C"/>
    <w:multiLevelType w:val="hybridMultilevel"/>
    <w:tmpl w:val="6B646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1A713F"/>
    <w:multiLevelType w:val="multilevel"/>
    <w:tmpl w:val="0F964336"/>
    <w:lvl w:ilvl="0">
      <w:start w:val="1"/>
      <w:numFmt w:val="bullet"/>
      <w:lvlText w:val=""/>
      <w:lvlJc w:val="left"/>
      <w:pPr>
        <w:tabs>
          <w:tab w:val="num" w:pos="360"/>
        </w:tabs>
        <w:ind w:left="360" w:hanging="360"/>
      </w:pPr>
      <w:rPr>
        <w:rFonts w:ascii="Symbol" w:hAnsi="Symbol" w:hint="default"/>
        <w:sz w:val="20"/>
      </w:rPr>
    </w:lvl>
    <w:lvl w:ilvl="1">
      <w:start w:val="3"/>
      <w:numFmt w:val="lowerLetter"/>
      <w:lvlText w:val="%2)"/>
      <w:lvlJc w:val="left"/>
      <w:pPr>
        <w:ind w:left="1080" w:hanging="360"/>
      </w:pPr>
      <w:rPr>
        <w:rFonts w:hint="default"/>
      </w:rPr>
    </w:lvl>
    <w:lvl w:ilvl="2">
      <w:start w:val="3"/>
      <w:numFmt w:val="decimal"/>
      <w:lvlText w:val="%3."/>
      <w:lvlJc w:val="left"/>
      <w:pPr>
        <w:ind w:left="1800" w:hanging="360"/>
      </w:pPr>
      <w:rPr>
        <w:rFonts w:hint="default"/>
      </w:rPr>
    </w:lvl>
    <w:lvl w:ilvl="3">
      <w:numFmt w:val="bullet"/>
      <w:lvlText w:val="•"/>
      <w:lvlJc w:val="left"/>
      <w:pPr>
        <w:ind w:left="2880" w:hanging="720"/>
      </w:pPr>
      <w:rPr>
        <w:rFonts w:ascii="Arial" w:eastAsia="Times New Roman" w:hAnsi="Arial" w:cs="Arial"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5"/>
  </w:num>
  <w:num w:numId="2">
    <w:abstractNumId w:val="18"/>
  </w:num>
  <w:num w:numId="3">
    <w:abstractNumId w:val="16"/>
  </w:num>
  <w:num w:numId="4">
    <w:abstractNumId w:val="11"/>
  </w:num>
  <w:num w:numId="5">
    <w:abstractNumId w:val="12"/>
  </w:num>
  <w:num w:numId="6">
    <w:abstractNumId w:val="3"/>
  </w:num>
  <w:num w:numId="7">
    <w:abstractNumId w:val="2"/>
  </w:num>
  <w:num w:numId="8">
    <w:abstractNumId w:val="1"/>
  </w:num>
  <w:num w:numId="9">
    <w:abstractNumId w:val="0"/>
  </w:num>
  <w:num w:numId="10">
    <w:abstractNumId w:val="10"/>
  </w:num>
  <w:num w:numId="11">
    <w:abstractNumId w:val="6"/>
  </w:num>
  <w:num w:numId="12">
    <w:abstractNumId w:val="6"/>
  </w:num>
  <w:num w:numId="13">
    <w:abstractNumId w:val="17"/>
  </w:num>
  <w:num w:numId="14">
    <w:abstractNumId w:val="7"/>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2"/>
  </w:num>
  <w:num w:numId="18">
    <w:abstractNumId w:val="21"/>
  </w:num>
  <w:num w:numId="19">
    <w:abstractNumId w:val="15"/>
  </w:num>
  <w:num w:numId="20">
    <w:abstractNumId w:val="17"/>
  </w:num>
  <w:num w:numId="21">
    <w:abstractNumId w:val="17"/>
  </w:num>
  <w:num w:numId="22">
    <w:abstractNumId w:val="20"/>
  </w:num>
  <w:num w:numId="23">
    <w:abstractNumId w:val="7"/>
  </w:num>
  <w:num w:numId="24">
    <w:abstractNumId w:val="9"/>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4"/>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7"/>
  </w:num>
  <w:num w:numId="36">
    <w:abstractNumId w:val="7"/>
  </w:num>
  <w:num w:numId="37">
    <w:abstractNumId w:val="7"/>
  </w:num>
  <w:num w:numId="38">
    <w:abstractNumId w:val="7"/>
  </w:num>
  <w:num w:numId="39">
    <w:abstractNumId w:val="7"/>
  </w:num>
  <w:num w:numId="40">
    <w:abstractNumId w:val="8"/>
  </w:num>
  <w:num w:numId="41">
    <w:abstractNumId w:val="19"/>
  </w:num>
  <w:num w:numId="42">
    <w:abstractNumId w:val="17"/>
  </w:num>
  <w:num w:numId="43">
    <w:abstractNumId w:val="14"/>
  </w:num>
  <w:num w:numId="44">
    <w:abstractNumId w:val="17"/>
  </w:num>
  <w:num w:numId="45">
    <w:abstractNumId w:val="18"/>
  </w:num>
  <w:num w:numId="46">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FCF"/>
    <w:rsid w:val="00012DC1"/>
    <w:rsid w:val="00015B8E"/>
    <w:rsid w:val="00017814"/>
    <w:rsid w:val="00021C81"/>
    <w:rsid w:val="000230D1"/>
    <w:rsid w:val="00023FCC"/>
    <w:rsid w:val="000240EA"/>
    <w:rsid w:val="00026ED2"/>
    <w:rsid w:val="00027863"/>
    <w:rsid w:val="00032A4D"/>
    <w:rsid w:val="00037C62"/>
    <w:rsid w:val="000427A1"/>
    <w:rsid w:val="0004326E"/>
    <w:rsid w:val="00045619"/>
    <w:rsid w:val="000477FA"/>
    <w:rsid w:val="00050305"/>
    <w:rsid w:val="00050C65"/>
    <w:rsid w:val="000543C8"/>
    <w:rsid w:val="00054FAA"/>
    <w:rsid w:val="00064869"/>
    <w:rsid w:val="00065DC6"/>
    <w:rsid w:val="000673C7"/>
    <w:rsid w:val="00071F9A"/>
    <w:rsid w:val="0007226D"/>
    <w:rsid w:val="00082581"/>
    <w:rsid w:val="000865E2"/>
    <w:rsid w:val="000A485F"/>
    <w:rsid w:val="000A5C4E"/>
    <w:rsid w:val="000B070E"/>
    <w:rsid w:val="000B1FBC"/>
    <w:rsid w:val="000B3182"/>
    <w:rsid w:val="000C0A6A"/>
    <w:rsid w:val="000C6FA0"/>
    <w:rsid w:val="000D4609"/>
    <w:rsid w:val="000D5784"/>
    <w:rsid w:val="000D70F5"/>
    <w:rsid w:val="000E0560"/>
    <w:rsid w:val="000E5C90"/>
    <w:rsid w:val="000F5BE4"/>
    <w:rsid w:val="001008E0"/>
    <w:rsid w:val="001046CC"/>
    <w:rsid w:val="0010479C"/>
    <w:rsid w:val="00107E2B"/>
    <w:rsid w:val="00112F0F"/>
    <w:rsid w:val="0011340D"/>
    <w:rsid w:val="0011609F"/>
    <w:rsid w:val="0012197F"/>
    <w:rsid w:val="00125D68"/>
    <w:rsid w:val="001300B6"/>
    <w:rsid w:val="001316EF"/>
    <w:rsid w:val="00142FB5"/>
    <w:rsid w:val="00146932"/>
    <w:rsid w:val="0014745D"/>
    <w:rsid w:val="00152F9A"/>
    <w:rsid w:val="00154F93"/>
    <w:rsid w:val="0015797C"/>
    <w:rsid w:val="001635A1"/>
    <w:rsid w:val="00163C23"/>
    <w:rsid w:val="00176641"/>
    <w:rsid w:val="00176C2E"/>
    <w:rsid w:val="00180F83"/>
    <w:rsid w:val="0018125D"/>
    <w:rsid w:val="00184700"/>
    <w:rsid w:val="00187856"/>
    <w:rsid w:val="00194A7B"/>
    <w:rsid w:val="00195877"/>
    <w:rsid w:val="00195D58"/>
    <w:rsid w:val="0019612A"/>
    <w:rsid w:val="001A2255"/>
    <w:rsid w:val="001A247D"/>
    <w:rsid w:val="001A2919"/>
    <w:rsid w:val="001A392A"/>
    <w:rsid w:val="001A3F6A"/>
    <w:rsid w:val="001B2B9C"/>
    <w:rsid w:val="001B543B"/>
    <w:rsid w:val="001C55EC"/>
    <w:rsid w:val="001D03EE"/>
    <w:rsid w:val="001D51EB"/>
    <w:rsid w:val="001E76C3"/>
    <w:rsid w:val="00201E06"/>
    <w:rsid w:val="00201E34"/>
    <w:rsid w:val="002052A8"/>
    <w:rsid w:val="002117FD"/>
    <w:rsid w:val="00216329"/>
    <w:rsid w:val="002264D9"/>
    <w:rsid w:val="00234E38"/>
    <w:rsid w:val="00241E98"/>
    <w:rsid w:val="00241F8C"/>
    <w:rsid w:val="00244831"/>
    <w:rsid w:val="00245179"/>
    <w:rsid w:val="002461AF"/>
    <w:rsid w:val="00254CD6"/>
    <w:rsid w:val="00260294"/>
    <w:rsid w:val="00260ABA"/>
    <w:rsid w:val="0026231B"/>
    <w:rsid w:val="00263C2C"/>
    <w:rsid w:val="002644B8"/>
    <w:rsid w:val="00266C7B"/>
    <w:rsid w:val="00267890"/>
    <w:rsid w:val="00271E59"/>
    <w:rsid w:val="0028327E"/>
    <w:rsid w:val="00286C6A"/>
    <w:rsid w:val="00287D6D"/>
    <w:rsid w:val="0029039D"/>
    <w:rsid w:val="002907A1"/>
    <w:rsid w:val="00297883"/>
    <w:rsid w:val="002A2377"/>
    <w:rsid w:val="002A3725"/>
    <w:rsid w:val="002A5576"/>
    <w:rsid w:val="002B77DF"/>
    <w:rsid w:val="002C1E2A"/>
    <w:rsid w:val="002C2318"/>
    <w:rsid w:val="002C3D20"/>
    <w:rsid w:val="002C41D3"/>
    <w:rsid w:val="002E4831"/>
    <w:rsid w:val="002E6932"/>
    <w:rsid w:val="00305AA4"/>
    <w:rsid w:val="0031182E"/>
    <w:rsid w:val="003161A7"/>
    <w:rsid w:val="00322F9A"/>
    <w:rsid w:val="00323670"/>
    <w:rsid w:val="00327647"/>
    <w:rsid w:val="003318FA"/>
    <w:rsid w:val="003328B2"/>
    <w:rsid w:val="003336F9"/>
    <w:rsid w:val="0033736F"/>
    <w:rsid w:val="00340E7B"/>
    <w:rsid w:val="0034711D"/>
    <w:rsid w:val="0035596B"/>
    <w:rsid w:val="00355B29"/>
    <w:rsid w:val="003560C4"/>
    <w:rsid w:val="00361F92"/>
    <w:rsid w:val="00363F79"/>
    <w:rsid w:val="003668C5"/>
    <w:rsid w:val="00374471"/>
    <w:rsid w:val="00374D67"/>
    <w:rsid w:val="00386A78"/>
    <w:rsid w:val="003922F7"/>
    <w:rsid w:val="00397A4D"/>
    <w:rsid w:val="003A0A49"/>
    <w:rsid w:val="003B1D0C"/>
    <w:rsid w:val="003B4352"/>
    <w:rsid w:val="003B4BA4"/>
    <w:rsid w:val="003C4DAB"/>
    <w:rsid w:val="003D045B"/>
    <w:rsid w:val="003D1416"/>
    <w:rsid w:val="003D5DFF"/>
    <w:rsid w:val="003D66D9"/>
    <w:rsid w:val="003E107C"/>
    <w:rsid w:val="003E347D"/>
    <w:rsid w:val="003E7922"/>
    <w:rsid w:val="003F2155"/>
    <w:rsid w:val="00402A13"/>
    <w:rsid w:val="00402DD8"/>
    <w:rsid w:val="00414EB8"/>
    <w:rsid w:val="00416B57"/>
    <w:rsid w:val="00417AAC"/>
    <w:rsid w:val="00417DB3"/>
    <w:rsid w:val="00435C8A"/>
    <w:rsid w:val="00435E2E"/>
    <w:rsid w:val="004362EE"/>
    <w:rsid w:val="00437076"/>
    <w:rsid w:val="00441BA1"/>
    <w:rsid w:val="00446973"/>
    <w:rsid w:val="004516AA"/>
    <w:rsid w:val="004571A8"/>
    <w:rsid w:val="00457AB3"/>
    <w:rsid w:val="00460E8F"/>
    <w:rsid w:val="00465BE1"/>
    <w:rsid w:val="00466CA8"/>
    <w:rsid w:val="004707BF"/>
    <w:rsid w:val="004707F6"/>
    <w:rsid w:val="00473E58"/>
    <w:rsid w:val="00480F5F"/>
    <w:rsid w:val="004862F0"/>
    <w:rsid w:val="00486608"/>
    <w:rsid w:val="00491E47"/>
    <w:rsid w:val="00493AA0"/>
    <w:rsid w:val="00494008"/>
    <w:rsid w:val="00494682"/>
    <w:rsid w:val="00495F87"/>
    <w:rsid w:val="00496D40"/>
    <w:rsid w:val="004A71FE"/>
    <w:rsid w:val="004B4A8A"/>
    <w:rsid w:val="004B5D44"/>
    <w:rsid w:val="004B6CCD"/>
    <w:rsid w:val="004B7E68"/>
    <w:rsid w:val="004C4CC6"/>
    <w:rsid w:val="004C6AC1"/>
    <w:rsid w:val="004C71CD"/>
    <w:rsid w:val="004D0226"/>
    <w:rsid w:val="004D3814"/>
    <w:rsid w:val="004E2206"/>
    <w:rsid w:val="004E4E53"/>
    <w:rsid w:val="004E559D"/>
    <w:rsid w:val="004E6B2F"/>
    <w:rsid w:val="004F0F35"/>
    <w:rsid w:val="004F1F62"/>
    <w:rsid w:val="00505F69"/>
    <w:rsid w:val="005067C5"/>
    <w:rsid w:val="005135E7"/>
    <w:rsid w:val="00513C5F"/>
    <w:rsid w:val="0053027B"/>
    <w:rsid w:val="005373CD"/>
    <w:rsid w:val="00542DD6"/>
    <w:rsid w:val="00543C85"/>
    <w:rsid w:val="00547F3A"/>
    <w:rsid w:val="00550A47"/>
    <w:rsid w:val="00551374"/>
    <w:rsid w:val="00566CA1"/>
    <w:rsid w:val="00566FC3"/>
    <w:rsid w:val="00567ABA"/>
    <w:rsid w:val="00572136"/>
    <w:rsid w:val="00572F20"/>
    <w:rsid w:val="005753E9"/>
    <w:rsid w:val="005762C2"/>
    <w:rsid w:val="00580582"/>
    <w:rsid w:val="0058692F"/>
    <w:rsid w:val="00586996"/>
    <w:rsid w:val="00590058"/>
    <w:rsid w:val="00591630"/>
    <w:rsid w:val="005A2525"/>
    <w:rsid w:val="005A7E35"/>
    <w:rsid w:val="005B4C9D"/>
    <w:rsid w:val="005B6C68"/>
    <w:rsid w:val="005C1D5F"/>
    <w:rsid w:val="005C31A8"/>
    <w:rsid w:val="005E062C"/>
    <w:rsid w:val="005E496F"/>
    <w:rsid w:val="005E6E79"/>
    <w:rsid w:val="0060167D"/>
    <w:rsid w:val="00602190"/>
    <w:rsid w:val="0061158F"/>
    <w:rsid w:val="006203D7"/>
    <w:rsid w:val="00627F4D"/>
    <w:rsid w:val="006319CD"/>
    <w:rsid w:val="00634F35"/>
    <w:rsid w:val="0064022F"/>
    <w:rsid w:val="0064158A"/>
    <w:rsid w:val="00647F80"/>
    <w:rsid w:val="0065299B"/>
    <w:rsid w:val="00654F50"/>
    <w:rsid w:val="006612B3"/>
    <w:rsid w:val="0066688B"/>
    <w:rsid w:val="00670CA8"/>
    <w:rsid w:val="00671849"/>
    <w:rsid w:val="00674FD6"/>
    <w:rsid w:val="00677691"/>
    <w:rsid w:val="00681315"/>
    <w:rsid w:val="0069114D"/>
    <w:rsid w:val="00691603"/>
    <w:rsid w:val="00691D90"/>
    <w:rsid w:val="00694CED"/>
    <w:rsid w:val="00695F0E"/>
    <w:rsid w:val="006A036A"/>
    <w:rsid w:val="006B0464"/>
    <w:rsid w:val="006B1513"/>
    <w:rsid w:val="006B261A"/>
    <w:rsid w:val="006B2E6A"/>
    <w:rsid w:val="006B4155"/>
    <w:rsid w:val="006B41CF"/>
    <w:rsid w:val="006C25E0"/>
    <w:rsid w:val="006C3291"/>
    <w:rsid w:val="006C57D5"/>
    <w:rsid w:val="006D4BD5"/>
    <w:rsid w:val="006D54AD"/>
    <w:rsid w:val="006E1F81"/>
    <w:rsid w:val="007028B3"/>
    <w:rsid w:val="00705281"/>
    <w:rsid w:val="00706154"/>
    <w:rsid w:val="007063F7"/>
    <w:rsid w:val="00725C2E"/>
    <w:rsid w:val="0073652B"/>
    <w:rsid w:val="007367EB"/>
    <w:rsid w:val="00737755"/>
    <w:rsid w:val="00756DB1"/>
    <w:rsid w:val="007604A9"/>
    <w:rsid w:val="0077066B"/>
    <w:rsid w:val="00773D30"/>
    <w:rsid w:val="00780342"/>
    <w:rsid w:val="007812FB"/>
    <w:rsid w:val="00781970"/>
    <w:rsid w:val="00783F39"/>
    <w:rsid w:val="007850F2"/>
    <w:rsid w:val="00787A1B"/>
    <w:rsid w:val="00792787"/>
    <w:rsid w:val="007B1F7B"/>
    <w:rsid w:val="007B6AC1"/>
    <w:rsid w:val="007C21D1"/>
    <w:rsid w:val="007C7AF2"/>
    <w:rsid w:val="007D242F"/>
    <w:rsid w:val="007D3D76"/>
    <w:rsid w:val="007D7724"/>
    <w:rsid w:val="007E2651"/>
    <w:rsid w:val="007E2D1D"/>
    <w:rsid w:val="007E6784"/>
    <w:rsid w:val="007F40D6"/>
    <w:rsid w:val="007F42B2"/>
    <w:rsid w:val="007F6B5C"/>
    <w:rsid w:val="00804CCE"/>
    <w:rsid w:val="00814A96"/>
    <w:rsid w:val="00816203"/>
    <w:rsid w:val="00825F4C"/>
    <w:rsid w:val="00827522"/>
    <w:rsid w:val="00831915"/>
    <w:rsid w:val="008379F7"/>
    <w:rsid w:val="00840F04"/>
    <w:rsid w:val="00846C81"/>
    <w:rsid w:val="0085111A"/>
    <w:rsid w:val="00856415"/>
    <w:rsid w:val="0085733F"/>
    <w:rsid w:val="00865831"/>
    <w:rsid w:val="00865E1C"/>
    <w:rsid w:val="00867ABC"/>
    <w:rsid w:val="008744F6"/>
    <w:rsid w:val="00881099"/>
    <w:rsid w:val="00883063"/>
    <w:rsid w:val="0088717D"/>
    <w:rsid w:val="008921BA"/>
    <w:rsid w:val="008B09A6"/>
    <w:rsid w:val="008B2274"/>
    <w:rsid w:val="008C0FCF"/>
    <w:rsid w:val="008C789B"/>
    <w:rsid w:val="008D0171"/>
    <w:rsid w:val="008D079E"/>
    <w:rsid w:val="008D7DA6"/>
    <w:rsid w:val="008E2A27"/>
    <w:rsid w:val="008F0F19"/>
    <w:rsid w:val="008F4162"/>
    <w:rsid w:val="008F4B1A"/>
    <w:rsid w:val="008F6F93"/>
    <w:rsid w:val="008F7298"/>
    <w:rsid w:val="009002EF"/>
    <w:rsid w:val="009126B5"/>
    <w:rsid w:val="0091739D"/>
    <w:rsid w:val="009236C0"/>
    <w:rsid w:val="00925D98"/>
    <w:rsid w:val="009354A5"/>
    <w:rsid w:val="00940406"/>
    <w:rsid w:val="00943395"/>
    <w:rsid w:val="00953EA4"/>
    <w:rsid w:val="00956A82"/>
    <w:rsid w:val="009616EC"/>
    <w:rsid w:val="0097681F"/>
    <w:rsid w:val="00994276"/>
    <w:rsid w:val="00994278"/>
    <w:rsid w:val="009A3EF2"/>
    <w:rsid w:val="009B1797"/>
    <w:rsid w:val="009B529D"/>
    <w:rsid w:val="009C17A2"/>
    <w:rsid w:val="009D7432"/>
    <w:rsid w:val="009D75AD"/>
    <w:rsid w:val="009E370B"/>
    <w:rsid w:val="009E43C9"/>
    <w:rsid w:val="009E6102"/>
    <w:rsid w:val="009F573D"/>
    <w:rsid w:val="009F6554"/>
    <w:rsid w:val="00A04393"/>
    <w:rsid w:val="00A04A03"/>
    <w:rsid w:val="00A11176"/>
    <w:rsid w:val="00A11288"/>
    <w:rsid w:val="00A13C9A"/>
    <w:rsid w:val="00A15586"/>
    <w:rsid w:val="00A15F68"/>
    <w:rsid w:val="00A16748"/>
    <w:rsid w:val="00A17920"/>
    <w:rsid w:val="00A24419"/>
    <w:rsid w:val="00A24B61"/>
    <w:rsid w:val="00A305BE"/>
    <w:rsid w:val="00A31655"/>
    <w:rsid w:val="00A316DB"/>
    <w:rsid w:val="00A31B1A"/>
    <w:rsid w:val="00A36F2E"/>
    <w:rsid w:val="00A40B42"/>
    <w:rsid w:val="00A413AE"/>
    <w:rsid w:val="00A44A3C"/>
    <w:rsid w:val="00A45C8E"/>
    <w:rsid w:val="00A5295C"/>
    <w:rsid w:val="00A56193"/>
    <w:rsid w:val="00A700E7"/>
    <w:rsid w:val="00A70ADD"/>
    <w:rsid w:val="00A7263F"/>
    <w:rsid w:val="00A727BD"/>
    <w:rsid w:val="00A737EB"/>
    <w:rsid w:val="00A754E0"/>
    <w:rsid w:val="00A769BE"/>
    <w:rsid w:val="00A815FE"/>
    <w:rsid w:val="00A84EFC"/>
    <w:rsid w:val="00A86C58"/>
    <w:rsid w:val="00A92BC8"/>
    <w:rsid w:val="00A92CC3"/>
    <w:rsid w:val="00A9351D"/>
    <w:rsid w:val="00A95D73"/>
    <w:rsid w:val="00A96A8D"/>
    <w:rsid w:val="00A9788C"/>
    <w:rsid w:val="00A97BB7"/>
    <w:rsid w:val="00AA2C5F"/>
    <w:rsid w:val="00AB13F3"/>
    <w:rsid w:val="00AB40D3"/>
    <w:rsid w:val="00AB41A2"/>
    <w:rsid w:val="00AB6520"/>
    <w:rsid w:val="00AC39E1"/>
    <w:rsid w:val="00AC6029"/>
    <w:rsid w:val="00AD10FB"/>
    <w:rsid w:val="00AD7972"/>
    <w:rsid w:val="00AE32F5"/>
    <w:rsid w:val="00AE43E0"/>
    <w:rsid w:val="00AE7471"/>
    <w:rsid w:val="00AE7628"/>
    <w:rsid w:val="00AF05F7"/>
    <w:rsid w:val="00AF0A5C"/>
    <w:rsid w:val="00AF2E0A"/>
    <w:rsid w:val="00AF488C"/>
    <w:rsid w:val="00B01A11"/>
    <w:rsid w:val="00B06E99"/>
    <w:rsid w:val="00B07EDB"/>
    <w:rsid w:val="00B16905"/>
    <w:rsid w:val="00B17830"/>
    <w:rsid w:val="00B24A43"/>
    <w:rsid w:val="00B251F7"/>
    <w:rsid w:val="00B2583B"/>
    <w:rsid w:val="00B25948"/>
    <w:rsid w:val="00B267DE"/>
    <w:rsid w:val="00B361B0"/>
    <w:rsid w:val="00B40442"/>
    <w:rsid w:val="00B45B9C"/>
    <w:rsid w:val="00B45BBE"/>
    <w:rsid w:val="00B53EEB"/>
    <w:rsid w:val="00B60BEB"/>
    <w:rsid w:val="00B657C7"/>
    <w:rsid w:val="00B66F7A"/>
    <w:rsid w:val="00B71B72"/>
    <w:rsid w:val="00B751BC"/>
    <w:rsid w:val="00B842DD"/>
    <w:rsid w:val="00B84A9F"/>
    <w:rsid w:val="00B91810"/>
    <w:rsid w:val="00B93AB5"/>
    <w:rsid w:val="00BA37FA"/>
    <w:rsid w:val="00BC1729"/>
    <w:rsid w:val="00BC2B4A"/>
    <w:rsid w:val="00BC3CC6"/>
    <w:rsid w:val="00BC7395"/>
    <w:rsid w:val="00BC7B4A"/>
    <w:rsid w:val="00BD17CE"/>
    <w:rsid w:val="00BE534A"/>
    <w:rsid w:val="00BE7E2C"/>
    <w:rsid w:val="00BF0A4A"/>
    <w:rsid w:val="00BF0EB1"/>
    <w:rsid w:val="00BF2749"/>
    <w:rsid w:val="00BF2A17"/>
    <w:rsid w:val="00BF3C5A"/>
    <w:rsid w:val="00BF468F"/>
    <w:rsid w:val="00C02A87"/>
    <w:rsid w:val="00C1025F"/>
    <w:rsid w:val="00C10330"/>
    <w:rsid w:val="00C107BC"/>
    <w:rsid w:val="00C1126D"/>
    <w:rsid w:val="00C14D29"/>
    <w:rsid w:val="00C16A7B"/>
    <w:rsid w:val="00C25706"/>
    <w:rsid w:val="00C34B31"/>
    <w:rsid w:val="00C368E9"/>
    <w:rsid w:val="00C41068"/>
    <w:rsid w:val="00C41DF2"/>
    <w:rsid w:val="00C42E4E"/>
    <w:rsid w:val="00C4559B"/>
    <w:rsid w:val="00C52545"/>
    <w:rsid w:val="00C52E3A"/>
    <w:rsid w:val="00C54B3A"/>
    <w:rsid w:val="00C634D4"/>
    <w:rsid w:val="00C663DB"/>
    <w:rsid w:val="00C67698"/>
    <w:rsid w:val="00C70B5B"/>
    <w:rsid w:val="00C76519"/>
    <w:rsid w:val="00C777E9"/>
    <w:rsid w:val="00C8475B"/>
    <w:rsid w:val="00C86A35"/>
    <w:rsid w:val="00CA627F"/>
    <w:rsid w:val="00CA6ECF"/>
    <w:rsid w:val="00CB0AE6"/>
    <w:rsid w:val="00CB2DBE"/>
    <w:rsid w:val="00CB30AE"/>
    <w:rsid w:val="00CB370F"/>
    <w:rsid w:val="00CB3F17"/>
    <w:rsid w:val="00CB4FFE"/>
    <w:rsid w:val="00CC22EC"/>
    <w:rsid w:val="00CC4FB0"/>
    <w:rsid w:val="00CE0D2C"/>
    <w:rsid w:val="00CE2DE6"/>
    <w:rsid w:val="00CF3740"/>
    <w:rsid w:val="00CF616A"/>
    <w:rsid w:val="00CF64D8"/>
    <w:rsid w:val="00D0125D"/>
    <w:rsid w:val="00D0335B"/>
    <w:rsid w:val="00D132B1"/>
    <w:rsid w:val="00D22C9B"/>
    <w:rsid w:val="00D328D6"/>
    <w:rsid w:val="00D439BB"/>
    <w:rsid w:val="00D52F7C"/>
    <w:rsid w:val="00D54157"/>
    <w:rsid w:val="00D631C1"/>
    <w:rsid w:val="00D63FD5"/>
    <w:rsid w:val="00D66DFB"/>
    <w:rsid w:val="00D72E84"/>
    <w:rsid w:val="00D72F74"/>
    <w:rsid w:val="00D75247"/>
    <w:rsid w:val="00D801A0"/>
    <w:rsid w:val="00D8167D"/>
    <w:rsid w:val="00D8667F"/>
    <w:rsid w:val="00DA03A0"/>
    <w:rsid w:val="00DA42F8"/>
    <w:rsid w:val="00DA6C65"/>
    <w:rsid w:val="00DB1178"/>
    <w:rsid w:val="00DB16FF"/>
    <w:rsid w:val="00DB1CB6"/>
    <w:rsid w:val="00DB2887"/>
    <w:rsid w:val="00DB395B"/>
    <w:rsid w:val="00DB56CF"/>
    <w:rsid w:val="00DC12BE"/>
    <w:rsid w:val="00DC262E"/>
    <w:rsid w:val="00DC4A01"/>
    <w:rsid w:val="00DF0489"/>
    <w:rsid w:val="00DF6FAB"/>
    <w:rsid w:val="00E02C96"/>
    <w:rsid w:val="00E036E5"/>
    <w:rsid w:val="00E051EB"/>
    <w:rsid w:val="00E07F5B"/>
    <w:rsid w:val="00E102B2"/>
    <w:rsid w:val="00E14F0E"/>
    <w:rsid w:val="00E15226"/>
    <w:rsid w:val="00E1565C"/>
    <w:rsid w:val="00E240B8"/>
    <w:rsid w:val="00E32CD2"/>
    <w:rsid w:val="00E350BF"/>
    <w:rsid w:val="00E43340"/>
    <w:rsid w:val="00E44C8D"/>
    <w:rsid w:val="00E5003B"/>
    <w:rsid w:val="00E57B03"/>
    <w:rsid w:val="00E60A3C"/>
    <w:rsid w:val="00E6263E"/>
    <w:rsid w:val="00E665CC"/>
    <w:rsid w:val="00E76E5B"/>
    <w:rsid w:val="00E83317"/>
    <w:rsid w:val="00E86AAC"/>
    <w:rsid w:val="00E91B2C"/>
    <w:rsid w:val="00E95676"/>
    <w:rsid w:val="00E957E5"/>
    <w:rsid w:val="00EA26C6"/>
    <w:rsid w:val="00EA48E3"/>
    <w:rsid w:val="00EA647D"/>
    <w:rsid w:val="00EA725E"/>
    <w:rsid w:val="00EB44E0"/>
    <w:rsid w:val="00EC153B"/>
    <w:rsid w:val="00EC4930"/>
    <w:rsid w:val="00EC6D45"/>
    <w:rsid w:val="00ED5921"/>
    <w:rsid w:val="00EE44B0"/>
    <w:rsid w:val="00EE4BF6"/>
    <w:rsid w:val="00EF5CF8"/>
    <w:rsid w:val="00F03899"/>
    <w:rsid w:val="00F052FC"/>
    <w:rsid w:val="00F066DA"/>
    <w:rsid w:val="00F10299"/>
    <w:rsid w:val="00F11B2F"/>
    <w:rsid w:val="00F13417"/>
    <w:rsid w:val="00F14DE1"/>
    <w:rsid w:val="00F15FB2"/>
    <w:rsid w:val="00F1618D"/>
    <w:rsid w:val="00F2093A"/>
    <w:rsid w:val="00F27666"/>
    <w:rsid w:val="00F34350"/>
    <w:rsid w:val="00F36ACB"/>
    <w:rsid w:val="00F429F7"/>
    <w:rsid w:val="00F43296"/>
    <w:rsid w:val="00F518B1"/>
    <w:rsid w:val="00F51951"/>
    <w:rsid w:val="00F65965"/>
    <w:rsid w:val="00F72986"/>
    <w:rsid w:val="00F73FD5"/>
    <w:rsid w:val="00F74842"/>
    <w:rsid w:val="00F8768B"/>
    <w:rsid w:val="00F921E4"/>
    <w:rsid w:val="00FA27FA"/>
    <w:rsid w:val="00FB1052"/>
    <w:rsid w:val="00FB5137"/>
    <w:rsid w:val="00FC0FC8"/>
    <w:rsid w:val="00FC3886"/>
    <w:rsid w:val="00FD0A1C"/>
    <w:rsid w:val="00FD542B"/>
    <w:rsid w:val="00FD6052"/>
    <w:rsid w:val="00FD7839"/>
    <w:rsid w:val="00FE4F68"/>
    <w:rsid w:val="00FF21EC"/>
    <w:rsid w:val="00FF2802"/>
    <w:rsid w:val="00FF5B90"/>
    <w:rsid w:val="00FF7714"/>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sz w:val="22"/>
        <w:szCs w:val="22"/>
        <w:lang w:val="en-GB" w:eastAsia="en-US" w:bidi="ar-SA"/>
      </w:rPr>
    </w:rPrDefault>
    <w:pPrDefault>
      <w:pPr>
        <w:spacing w:before="140" w:after="140"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3" w:qFormat="1"/>
    <w:lsdException w:name="heading 3" w:uiPriority="4" w:qFormat="1"/>
    <w:lsdException w:name="heading 4" w:uiPriority="5" w:qFormat="1"/>
    <w:lsdException w:name="heading 5" w:uiPriority="9"/>
    <w:lsdException w:name="heading 6" w:uiPriority="9"/>
    <w:lsdException w:name="heading 7" w:uiPriority="16"/>
    <w:lsdException w:name="heading 8" w:uiPriority="13"/>
    <w:lsdException w:name="heading 9" w:uiPriority="14"/>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13" w:qFormat="1"/>
    <w:lsdException w:name="List Bullet" w:uiPriority="7" w:qFormat="1"/>
    <w:lsdException w:name="List Number" w:uiPriority="10" w:qFormat="1"/>
    <w:lsdException w:name="List Bullet 2" w:uiPriority="8" w:qFormat="1"/>
    <w:lsdException w:name="List Bullet 3" w:uiPriority="9" w:qFormat="1"/>
    <w:lsdException w:name="List Number 2" w:uiPriority="11" w:qFormat="1"/>
    <w:lsdException w:name="List Number 3" w:uiPriority="12" w:qFormat="1"/>
    <w:lsdException w:name="Title" w:semiHidden="0" w:uiPriority="10" w:unhideWhenUsed="0"/>
    <w:lsdException w:name="Default Paragraph Font" w:uiPriority="0" w:qFormat="1"/>
    <w:lsdException w:name="Subtitle" w:semiHidden="0" w:uiPriority="11" w:unhideWhenUsed="0"/>
    <w:lsdException w:name="Strong" w:semiHidden="0" w:uiPriority="22" w:unhideWhenUsed="0"/>
    <w:lsdException w:name="Emphasis" w:semiHidden="0" w:uiPriority="20" w:unhideWhenUsed="0"/>
    <w:lsdException w:name="Normal Table" w:uiPriority="17"/>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241E98"/>
    <w:pPr>
      <w:spacing w:before="120" w:after="120" w:line="264" w:lineRule="auto"/>
    </w:pPr>
    <w:rPr>
      <w:color w:val="404040"/>
    </w:rPr>
  </w:style>
  <w:style w:type="paragraph" w:styleId="Heading1">
    <w:name w:val="heading 1"/>
    <w:next w:val="Heading2"/>
    <w:link w:val="Heading1Char"/>
    <w:uiPriority w:val="2"/>
    <w:qFormat/>
    <w:rsid w:val="00CE0D2C"/>
    <w:pPr>
      <w:keepNext/>
      <w:keepLines/>
      <w:numPr>
        <w:numId w:val="2"/>
      </w:numPr>
      <w:spacing w:after="280" w:line="560" w:lineRule="exact"/>
      <w:outlineLvl w:val="0"/>
    </w:pPr>
    <w:rPr>
      <w:rFonts w:asciiTheme="majorHAnsi" w:eastAsiaTheme="majorEastAsia" w:hAnsiTheme="majorHAnsi" w:cstheme="majorBidi"/>
      <w:bCs/>
      <w:sz w:val="56"/>
      <w:szCs w:val="28"/>
    </w:rPr>
  </w:style>
  <w:style w:type="paragraph" w:styleId="Heading2">
    <w:name w:val="heading 2"/>
    <w:next w:val="NormalNumbered"/>
    <w:link w:val="Heading2Char"/>
    <w:uiPriority w:val="3"/>
    <w:unhideWhenUsed/>
    <w:qFormat/>
    <w:rsid w:val="00D0125D"/>
    <w:pPr>
      <w:keepNext/>
      <w:keepLines/>
      <w:numPr>
        <w:ilvl w:val="1"/>
        <w:numId w:val="2"/>
      </w:numPr>
      <w:spacing w:line="280" w:lineRule="exact"/>
      <w:outlineLvl w:val="1"/>
    </w:pPr>
    <w:rPr>
      <w:rFonts w:asciiTheme="majorHAnsi" w:eastAsiaTheme="majorEastAsia" w:hAnsiTheme="majorHAnsi" w:cstheme="majorBidi"/>
      <w:b/>
      <w:bCs/>
      <w:color w:val="AE1031" w:themeColor="text2"/>
      <w:sz w:val="28"/>
      <w:szCs w:val="26"/>
    </w:rPr>
  </w:style>
  <w:style w:type="paragraph" w:styleId="Heading3">
    <w:name w:val="heading 3"/>
    <w:next w:val="NormalNumbered"/>
    <w:link w:val="Heading3Char"/>
    <w:uiPriority w:val="4"/>
    <w:qFormat/>
    <w:rsid w:val="00D8167D"/>
    <w:pPr>
      <w:keepNext/>
      <w:keepLines/>
      <w:numPr>
        <w:ilvl w:val="2"/>
        <w:numId w:val="2"/>
      </w:numPr>
      <w:spacing w:before="120" w:after="120" w:line="264" w:lineRule="auto"/>
      <w:outlineLvl w:val="2"/>
    </w:pPr>
    <w:rPr>
      <w:rFonts w:asciiTheme="majorHAnsi" w:eastAsiaTheme="majorEastAsia" w:hAnsiTheme="majorHAnsi" w:cstheme="majorBidi"/>
      <w:b/>
      <w:bCs/>
    </w:rPr>
  </w:style>
  <w:style w:type="paragraph" w:styleId="Heading4">
    <w:name w:val="heading 4"/>
    <w:next w:val="NormalNumbered"/>
    <w:link w:val="Heading4Char"/>
    <w:uiPriority w:val="5"/>
    <w:unhideWhenUsed/>
    <w:qFormat/>
    <w:rsid w:val="00E07F5B"/>
    <w:pPr>
      <w:keepNext/>
      <w:keepLines/>
      <w:spacing w:before="120" w:after="120" w:line="264"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rsid w:val="00B91810"/>
    <w:pPr>
      <w:keepNext/>
      <w:keepLines/>
      <w:spacing w:before="200" w:after="0"/>
      <w:outlineLvl w:val="4"/>
    </w:pPr>
    <w:rPr>
      <w:rFonts w:asciiTheme="majorHAnsi" w:eastAsiaTheme="majorEastAsia" w:hAnsiTheme="majorHAnsi" w:cstheme="majorBidi"/>
      <w:color w:val="325D75" w:themeColor="accent1" w:themeShade="7F"/>
    </w:rPr>
  </w:style>
  <w:style w:type="paragraph" w:styleId="Heading6">
    <w:name w:val="heading 6"/>
    <w:basedOn w:val="Normal"/>
    <w:next w:val="Normal"/>
    <w:link w:val="Heading6Char"/>
    <w:uiPriority w:val="9"/>
    <w:semiHidden/>
    <w:unhideWhenUsed/>
    <w:rsid w:val="00B91810"/>
    <w:pPr>
      <w:keepNext/>
      <w:keepLines/>
      <w:spacing w:before="200" w:after="0"/>
      <w:outlineLvl w:val="5"/>
    </w:pPr>
    <w:rPr>
      <w:rFonts w:asciiTheme="majorHAnsi" w:eastAsiaTheme="majorEastAsia" w:hAnsiTheme="majorHAnsi" w:cstheme="majorBidi"/>
      <w:i/>
      <w:iCs/>
      <w:color w:val="325D75" w:themeColor="accent1" w:themeShade="7F"/>
    </w:rPr>
  </w:style>
  <w:style w:type="paragraph" w:styleId="Heading7">
    <w:name w:val="heading 7"/>
    <w:aliases w:val="Appendix 1"/>
    <w:next w:val="Appendix2n"/>
    <w:link w:val="Heading7Char"/>
    <w:uiPriority w:val="16"/>
    <w:semiHidden/>
    <w:unhideWhenUsed/>
    <w:rsid w:val="00216329"/>
    <w:pPr>
      <w:keepNext/>
      <w:keepLines/>
      <w:pageBreakBefore/>
      <w:numPr>
        <w:numId w:val="11"/>
      </w:numPr>
      <w:spacing w:before="4230" w:after="280" w:line="560" w:lineRule="exact"/>
      <w:outlineLvl w:val="6"/>
    </w:pPr>
    <w:rPr>
      <w:rFonts w:asciiTheme="majorHAnsi" w:eastAsiaTheme="majorEastAsia" w:hAnsiTheme="majorHAnsi" w:cstheme="majorBidi"/>
      <w:iCs/>
      <w:color w:val="57626E" w:themeColor="background2"/>
      <w:sz w:val="56"/>
    </w:rPr>
  </w:style>
  <w:style w:type="paragraph" w:styleId="Heading8">
    <w:name w:val="heading 8"/>
    <w:aliases w:val="Appendix 2"/>
    <w:next w:val="Normal"/>
    <w:link w:val="Heading8Char"/>
    <w:uiPriority w:val="13"/>
    <w:semiHidden/>
    <w:unhideWhenUsed/>
    <w:rsid w:val="00287D6D"/>
    <w:pPr>
      <w:keepNext/>
      <w:keepLines/>
      <w:numPr>
        <w:ilvl w:val="1"/>
        <w:numId w:val="12"/>
      </w:numPr>
      <w:outlineLvl w:val="7"/>
    </w:pPr>
    <w:rPr>
      <w:rFonts w:asciiTheme="majorHAnsi" w:eastAsiaTheme="majorEastAsia" w:hAnsiTheme="majorHAnsi" w:cstheme="majorBidi"/>
      <w:b/>
      <w:color w:val="AE1031" w:themeColor="text2"/>
      <w:sz w:val="28"/>
      <w:szCs w:val="20"/>
    </w:rPr>
  </w:style>
  <w:style w:type="paragraph" w:styleId="Heading9">
    <w:name w:val="heading 9"/>
    <w:aliases w:val="Appendix 3"/>
    <w:next w:val="Normal"/>
    <w:link w:val="Heading9Char"/>
    <w:uiPriority w:val="14"/>
    <w:semiHidden/>
    <w:unhideWhenUsed/>
    <w:rsid w:val="00287D6D"/>
    <w:pPr>
      <w:keepNext/>
      <w:keepLines/>
      <w:numPr>
        <w:ilvl w:val="2"/>
        <w:numId w:val="12"/>
      </w:numPr>
      <w:outlineLvl w:val="8"/>
    </w:pPr>
    <w:rPr>
      <w:rFonts w:asciiTheme="majorHAnsi" w:eastAsiaTheme="majorEastAsia" w:hAnsiTheme="majorHAnsi"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DGTableDefault">
    <w:name w:val="SDG Table Default"/>
    <w:basedOn w:val="TableNormal"/>
    <w:uiPriority w:val="16"/>
    <w:rsid w:val="00B751BC"/>
    <w:pPr>
      <w:spacing w:before="50" w:after="50" w:line="180" w:lineRule="atLeast"/>
    </w:pPr>
    <w:rPr>
      <w:sz w:val="18"/>
    </w:rPr>
    <w:tblPr>
      <w:tblStyleRowBandSize w:val="1"/>
      <w:tblInd w:w="108" w:type="dxa"/>
      <w:tblBorders>
        <w:bottom w:val="single" w:sz="18" w:space="0" w:color="57626E" w:themeColor="background2"/>
        <w:insideV w:val="single" w:sz="6" w:space="0" w:color="FFFFFF" w:themeColor="background1"/>
      </w:tblBorders>
    </w:tblPr>
    <w:trPr>
      <w:cantSplit/>
    </w:trPr>
    <w:tcPr>
      <w:vAlign w:val="center"/>
    </w:tcPr>
    <w:tblStylePr w:type="firstRow">
      <w:pPr>
        <w:keepNext/>
        <w:keepLines/>
        <w:wordWrap/>
      </w:pPr>
      <w:rPr>
        <w:b/>
        <w:color w:val="FFFFFF" w:themeColor="background1"/>
      </w:rPr>
      <w:tblPr/>
      <w:trPr>
        <w:tblHeader/>
      </w:trPr>
      <w:tcPr>
        <w:shd w:val="clear" w:color="auto" w:fill="57626E" w:themeFill="background2"/>
      </w:tcPr>
    </w:tblStylePr>
    <w:tblStylePr w:type="lastRow">
      <w:rPr>
        <w:b/>
      </w:rPr>
      <w:tblPr/>
      <w:tcPr>
        <w:tcBorders>
          <w:top w:val="single" w:sz="4" w:space="0" w:color="57626E" w:themeColor="background2"/>
          <w:left w:val="nil"/>
          <w:bottom w:val="single" w:sz="18" w:space="0" w:color="57626E" w:themeColor="background2"/>
          <w:right w:val="nil"/>
          <w:insideH w:val="nil"/>
          <w:insideV w:val="nil"/>
          <w:tl2br w:val="nil"/>
          <w:tr2bl w:val="nil"/>
        </w:tcBorders>
      </w:tcPr>
    </w:tblStylePr>
    <w:tblStylePr w:type="firstCol">
      <w:pPr>
        <w:jc w:val="left"/>
      </w:pPr>
    </w:tblStylePr>
    <w:tblStylePr w:type="band1Horz">
      <w:tblPr/>
      <w:tcPr>
        <w:shd w:val="clear" w:color="auto" w:fill="EFF6FA" w:themeFill="accent6"/>
      </w:tcPr>
    </w:tblStylePr>
  </w:style>
  <w:style w:type="character" w:customStyle="1" w:styleId="Heading3Char">
    <w:name w:val="Heading 3 Char"/>
    <w:basedOn w:val="DefaultParagraphFont"/>
    <w:link w:val="Heading3"/>
    <w:uiPriority w:val="4"/>
    <w:rsid w:val="00D8167D"/>
    <w:rPr>
      <w:rFonts w:asciiTheme="majorHAnsi" w:eastAsiaTheme="majorEastAsia" w:hAnsiTheme="majorHAnsi" w:cstheme="majorBidi"/>
      <w:b/>
      <w:bCs/>
    </w:rPr>
  </w:style>
  <w:style w:type="paragraph" w:styleId="Header">
    <w:name w:val="header"/>
    <w:link w:val="HeaderChar"/>
    <w:uiPriority w:val="99"/>
    <w:semiHidden/>
    <w:unhideWhenUsed/>
    <w:rsid w:val="000240EA"/>
    <w:pPr>
      <w:tabs>
        <w:tab w:val="center" w:pos="4513"/>
        <w:tab w:val="right" w:pos="9026"/>
      </w:tabs>
      <w:spacing w:after="0" w:line="200" w:lineRule="atLeast"/>
    </w:pPr>
    <w:rPr>
      <w:sz w:val="16"/>
    </w:rPr>
  </w:style>
  <w:style w:type="character" w:customStyle="1" w:styleId="HeaderChar">
    <w:name w:val="Header Char"/>
    <w:basedOn w:val="DefaultParagraphFont"/>
    <w:link w:val="Header"/>
    <w:uiPriority w:val="99"/>
    <w:rsid w:val="000240EA"/>
    <w:rPr>
      <w:sz w:val="16"/>
      <w:lang w:val="en-GB"/>
    </w:rPr>
  </w:style>
  <w:style w:type="paragraph" w:styleId="Footer">
    <w:name w:val="footer"/>
    <w:link w:val="FooterChar"/>
    <w:uiPriority w:val="99"/>
    <w:semiHidden/>
    <w:unhideWhenUsed/>
    <w:rsid w:val="000240EA"/>
    <w:pPr>
      <w:tabs>
        <w:tab w:val="center" w:pos="4513"/>
        <w:tab w:val="right" w:pos="9026"/>
      </w:tabs>
      <w:spacing w:after="0" w:line="200" w:lineRule="atLeast"/>
      <w:ind w:left="-125"/>
    </w:pPr>
    <w:rPr>
      <w:sz w:val="16"/>
    </w:rPr>
  </w:style>
  <w:style w:type="character" w:customStyle="1" w:styleId="FooterChar">
    <w:name w:val="Footer Char"/>
    <w:basedOn w:val="DefaultParagraphFont"/>
    <w:link w:val="Footer"/>
    <w:uiPriority w:val="99"/>
    <w:rsid w:val="000240EA"/>
    <w:rPr>
      <w:sz w:val="16"/>
      <w:lang w:val="en-GB"/>
    </w:rPr>
  </w:style>
  <w:style w:type="paragraph" w:styleId="BalloonText">
    <w:name w:val="Balloon Text"/>
    <w:basedOn w:val="Normal"/>
    <w:link w:val="BalloonTextChar"/>
    <w:uiPriority w:val="99"/>
    <w:semiHidden/>
    <w:unhideWhenUsed/>
    <w:rsid w:val="00397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A4D"/>
    <w:rPr>
      <w:rFonts w:ascii="Tahoma" w:hAnsi="Tahoma" w:cs="Tahoma"/>
      <w:sz w:val="16"/>
      <w:szCs w:val="16"/>
      <w:lang w:val="en-GB"/>
    </w:rPr>
  </w:style>
  <w:style w:type="character" w:styleId="PlaceholderText">
    <w:name w:val="Placeholder Text"/>
    <w:basedOn w:val="DefaultParagraphFont"/>
    <w:uiPriority w:val="99"/>
    <w:semiHidden/>
    <w:rsid w:val="00397A4D"/>
    <w:rPr>
      <w:color w:val="808080"/>
      <w:lang w:val="en-GB"/>
    </w:rPr>
  </w:style>
  <w:style w:type="character" w:customStyle="1" w:styleId="Heading1Char">
    <w:name w:val="Heading 1 Char"/>
    <w:basedOn w:val="DefaultParagraphFont"/>
    <w:link w:val="Heading1"/>
    <w:uiPriority w:val="2"/>
    <w:rsid w:val="00CE0D2C"/>
    <w:rPr>
      <w:rFonts w:asciiTheme="majorHAnsi" w:eastAsiaTheme="majorEastAsia" w:hAnsiTheme="majorHAnsi" w:cstheme="majorBidi"/>
      <w:bCs/>
      <w:sz w:val="56"/>
      <w:szCs w:val="28"/>
      <w:lang w:val="en-GB"/>
    </w:rPr>
  </w:style>
  <w:style w:type="numbering" w:customStyle="1" w:styleId="SDGHeadings">
    <w:name w:val="SDG Headings"/>
    <w:uiPriority w:val="99"/>
    <w:semiHidden/>
    <w:rsid w:val="00FD7839"/>
    <w:pPr>
      <w:numPr>
        <w:numId w:val="1"/>
      </w:numPr>
    </w:pPr>
  </w:style>
  <w:style w:type="character" w:customStyle="1" w:styleId="Heading2Char">
    <w:name w:val="Heading 2 Char"/>
    <w:basedOn w:val="DefaultParagraphFont"/>
    <w:link w:val="Heading2"/>
    <w:uiPriority w:val="3"/>
    <w:rsid w:val="00D0125D"/>
    <w:rPr>
      <w:rFonts w:asciiTheme="majorHAnsi" w:eastAsiaTheme="majorEastAsia" w:hAnsiTheme="majorHAnsi" w:cstheme="majorBidi"/>
      <w:b/>
      <w:bCs/>
      <w:color w:val="AE1031" w:themeColor="text2"/>
      <w:sz w:val="28"/>
      <w:szCs w:val="26"/>
      <w:lang w:val="en-GB"/>
    </w:rPr>
  </w:style>
  <w:style w:type="paragraph" w:styleId="ListBullet">
    <w:name w:val="List Bullet"/>
    <w:uiPriority w:val="7"/>
    <w:unhideWhenUsed/>
    <w:qFormat/>
    <w:rsid w:val="00241E98"/>
    <w:pPr>
      <w:numPr>
        <w:numId w:val="13"/>
      </w:numPr>
      <w:spacing w:before="120" w:after="120" w:line="264" w:lineRule="auto"/>
      <w:contextualSpacing/>
    </w:pPr>
  </w:style>
  <w:style w:type="paragraph" w:styleId="ListBullet2">
    <w:name w:val="List Bullet 2"/>
    <w:uiPriority w:val="8"/>
    <w:unhideWhenUsed/>
    <w:qFormat/>
    <w:rsid w:val="001E76C3"/>
    <w:pPr>
      <w:numPr>
        <w:ilvl w:val="1"/>
        <w:numId w:val="13"/>
      </w:numPr>
      <w:spacing w:after="0"/>
      <w:contextualSpacing/>
    </w:pPr>
  </w:style>
  <w:style w:type="paragraph" w:styleId="ListBullet3">
    <w:name w:val="List Bullet 3"/>
    <w:uiPriority w:val="9"/>
    <w:unhideWhenUsed/>
    <w:qFormat/>
    <w:rsid w:val="001E76C3"/>
    <w:pPr>
      <w:numPr>
        <w:ilvl w:val="2"/>
        <w:numId w:val="13"/>
      </w:numPr>
      <w:spacing w:after="0"/>
      <w:contextualSpacing/>
    </w:pPr>
  </w:style>
  <w:style w:type="numbering" w:customStyle="1" w:styleId="SDGBullets">
    <w:name w:val="SDG Bullets"/>
    <w:uiPriority w:val="99"/>
    <w:semiHidden/>
    <w:rsid w:val="001E76C3"/>
    <w:pPr>
      <w:numPr>
        <w:numId w:val="13"/>
      </w:numPr>
    </w:pPr>
  </w:style>
  <w:style w:type="table" w:styleId="TableGrid">
    <w:name w:val="Table Grid"/>
    <w:basedOn w:val="TableNormal"/>
    <w:semiHidden/>
    <w:rsid w:val="00865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13"/>
    <w:unhideWhenUsed/>
    <w:qFormat/>
    <w:rsid w:val="00323670"/>
    <w:pPr>
      <w:keepNext/>
      <w:tabs>
        <w:tab w:val="left" w:pos="1134"/>
      </w:tabs>
      <w:spacing w:line="220" w:lineRule="atLeast"/>
    </w:pPr>
    <w:rPr>
      <w:b/>
      <w:bCs/>
      <w:sz w:val="18"/>
      <w:szCs w:val="18"/>
    </w:rPr>
  </w:style>
  <w:style w:type="paragraph" w:customStyle="1" w:styleId="Source">
    <w:name w:val="Source"/>
    <w:next w:val="NormalNumbered"/>
    <w:uiPriority w:val="14"/>
    <w:qFormat/>
    <w:rsid w:val="00FB5137"/>
    <w:pPr>
      <w:spacing w:after="280" w:line="220" w:lineRule="atLeast"/>
    </w:pPr>
    <w:rPr>
      <w:sz w:val="18"/>
    </w:rPr>
  </w:style>
  <w:style w:type="paragraph" w:styleId="TOCHeading">
    <w:name w:val="TOC Heading"/>
    <w:next w:val="Normal"/>
    <w:uiPriority w:val="39"/>
    <w:semiHidden/>
    <w:unhideWhenUsed/>
    <w:rsid w:val="00012DC1"/>
    <w:pPr>
      <w:keepNext/>
      <w:spacing w:after="0"/>
    </w:pPr>
    <w:rPr>
      <w:rFonts w:asciiTheme="majorHAnsi" w:eastAsiaTheme="majorEastAsia" w:hAnsiTheme="majorHAnsi" w:cstheme="majorBidi"/>
      <w:b/>
      <w:bCs/>
      <w:color w:val="AE1031" w:themeColor="text2"/>
      <w:sz w:val="28"/>
      <w:szCs w:val="28"/>
    </w:rPr>
  </w:style>
  <w:style w:type="paragraph" w:styleId="TOC1">
    <w:name w:val="toc 1"/>
    <w:next w:val="Normal"/>
    <w:uiPriority w:val="39"/>
    <w:semiHidden/>
    <w:unhideWhenUsed/>
    <w:rsid w:val="00216329"/>
    <w:pPr>
      <w:spacing w:before="280" w:after="0"/>
      <w:ind w:hanging="567"/>
    </w:pPr>
    <w:rPr>
      <w:b/>
      <w:color w:val="57626E" w:themeColor="background2"/>
    </w:rPr>
  </w:style>
  <w:style w:type="paragraph" w:styleId="TOC2">
    <w:name w:val="toc 2"/>
    <w:next w:val="Normal"/>
    <w:uiPriority w:val="39"/>
    <w:semiHidden/>
    <w:unhideWhenUsed/>
    <w:rsid w:val="00216329"/>
    <w:pPr>
      <w:spacing w:after="0"/>
    </w:pPr>
    <w:rPr>
      <w:color w:val="57626E" w:themeColor="background2"/>
    </w:rPr>
  </w:style>
  <w:style w:type="character" w:styleId="Hyperlink">
    <w:name w:val="Hyperlink"/>
    <w:basedOn w:val="DefaultParagraphFont"/>
    <w:uiPriority w:val="99"/>
    <w:unhideWhenUsed/>
    <w:rsid w:val="002A3725"/>
    <w:rPr>
      <w:b/>
      <w:color w:val="404040" w:themeColor="text1" w:themeTint="BF"/>
      <w:u w:val="single"/>
      <w:lang w:val="en-GB"/>
    </w:rPr>
  </w:style>
  <w:style w:type="paragraph" w:styleId="TableofFigures">
    <w:name w:val="table of figures"/>
    <w:next w:val="Normal"/>
    <w:uiPriority w:val="99"/>
    <w:semiHidden/>
    <w:unhideWhenUsed/>
    <w:rsid w:val="00216329"/>
    <w:pPr>
      <w:spacing w:after="0"/>
    </w:pPr>
    <w:rPr>
      <w:color w:val="57626E" w:themeColor="background2"/>
    </w:rPr>
  </w:style>
  <w:style w:type="paragraph" w:styleId="Title">
    <w:name w:val="Title"/>
    <w:next w:val="Normal"/>
    <w:link w:val="TitleChar"/>
    <w:uiPriority w:val="10"/>
    <w:semiHidden/>
    <w:rsid w:val="004F0F35"/>
    <w:pPr>
      <w:spacing w:after="0"/>
      <w:contextualSpacing/>
    </w:pPr>
    <w:rPr>
      <w:rFonts w:asciiTheme="majorHAnsi" w:eastAsiaTheme="majorEastAsia" w:hAnsiTheme="majorHAnsi" w:cstheme="majorBidi"/>
      <w:spacing w:val="5"/>
      <w:kern w:val="28"/>
      <w:sz w:val="28"/>
      <w:szCs w:val="52"/>
    </w:rPr>
  </w:style>
  <w:style w:type="character" w:customStyle="1" w:styleId="TitleChar">
    <w:name w:val="Title Char"/>
    <w:basedOn w:val="DefaultParagraphFont"/>
    <w:link w:val="Title"/>
    <w:uiPriority w:val="10"/>
    <w:rsid w:val="004F0F35"/>
    <w:rPr>
      <w:rFonts w:asciiTheme="majorHAnsi" w:eastAsiaTheme="majorEastAsia" w:hAnsiTheme="majorHAnsi" w:cstheme="majorBidi"/>
      <w:spacing w:val="5"/>
      <w:kern w:val="28"/>
      <w:sz w:val="28"/>
      <w:szCs w:val="52"/>
      <w:lang w:val="en-GB"/>
    </w:rPr>
  </w:style>
  <w:style w:type="paragraph" w:customStyle="1" w:styleId="SDGCoveraddress">
    <w:name w:val="SDG Cover address"/>
    <w:basedOn w:val="Normal"/>
    <w:semiHidden/>
    <w:rsid w:val="00FD0A1C"/>
    <w:pPr>
      <w:spacing w:after="0" w:line="288" w:lineRule="auto"/>
    </w:pPr>
    <w:rPr>
      <w:rFonts w:eastAsia="Times New Roman" w:cs="Times New Roman"/>
      <w:sz w:val="18"/>
      <w:szCs w:val="24"/>
    </w:rPr>
  </w:style>
  <w:style w:type="paragraph" w:customStyle="1" w:styleId="NumberedParagraph">
    <w:name w:val="Numbered Paragraph"/>
    <w:basedOn w:val="Normal"/>
    <w:uiPriority w:val="3"/>
    <w:semiHidden/>
    <w:rsid w:val="001046CC"/>
  </w:style>
  <w:style w:type="numbering" w:styleId="111111">
    <w:name w:val="Outline List 2"/>
    <w:basedOn w:val="NoList"/>
    <w:uiPriority w:val="99"/>
    <w:semiHidden/>
    <w:unhideWhenUsed/>
    <w:rsid w:val="00B91810"/>
    <w:pPr>
      <w:numPr>
        <w:numId w:val="3"/>
      </w:numPr>
    </w:pPr>
  </w:style>
  <w:style w:type="numbering" w:styleId="1ai">
    <w:name w:val="Outline List 1"/>
    <w:basedOn w:val="NoList"/>
    <w:uiPriority w:val="99"/>
    <w:semiHidden/>
    <w:unhideWhenUsed/>
    <w:rsid w:val="00B91810"/>
    <w:pPr>
      <w:numPr>
        <w:numId w:val="4"/>
      </w:numPr>
    </w:pPr>
  </w:style>
  <w:style w:type="character" w:customStyle="1" w:styleId="Heading4Char">
    <w:name w:val="Heading 4 Char"/>
    <w:basedOn w:val="DefaultParagraphFont"/>
    <w:link w:val="Heading4"/>
    <w:uiPriority w:val="5"/>
    <w:rsid w:val="00E07F5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91810"/>
    <w:rPr>
      <w:rFonts w:asciiTheme="majorHAnsi" w:eastAsiaTheme="majorEastAsia" w:hAnsiTheme="majorHAnsi" w:cstheme="majorBidi"/>
      <w:color w:val="325D75" w:themeColor="accent1" w:themeShade="7F"/>
      <w:lang w:val="en-GB"/>
    </w:rPr>
  </w:style>
  <w:style w:type="character" w:customStyle="1" w:styleId="Heading6Char">
    <w:name w:val="Heading 6 Char"/>
    <w:basedOn w:val="DefaultParagraphFont"/>
    <w:link w:val="Heading6"/>
    <w:uiPriority w:val="9"/>
    <w:semiHidden/>
    <w:rsid w:val="00B91810"/>
    <w:rPr>
      <w:rFonts w:asciiTheme="majorHAnsi" w:eastAsiaTheme="majorEastAsia" w:hAnsiTheme="majorHAnsi" w:cstheme="majorBidi"/>
      <w:i/>
      <w:iCs/>
      <w:color w:val="325D75" w:themeColor="accent1" w:themeShade="7F"/>
      <w:lang w:val="en-GB"/>
    </w:rPr>
  </w:style>
  <w:style w:type="character" w:customStyle="1" w:styleId="Heading7Char">
    <w:name w:val="Heading 7 Char"/>
    <w:aliases w:val="Appendix 1 Char"/>
    <w:basedOn w:val="DefaultParagraphFont"/>
    <w:link w:val="Heading7"/>
    <w:uiPriority w:val="16"/>
    <w:semiHidden/>
    <w:rsid w:val="00216329"/>
    <w:rPr>
      <w:rFonts w:asciiTheme="majorHAnsi" w:eastAsiaTheme="majorEastAsia" w:hAnsiTheme="majorHAnsi" w:cstheme="majorBidi"/>
      <w:iCs/>
      <w:color w:val="57626E" w:themeColor="background2"/>
      <w:sz w:val="56"/>
      <w:lang w:val="en-GB"/>
    </w:rPr>
  </w:style>
  <w:style w:type="character" w:customStyle="1" w:styleId="Heading8Char">
    <w:name w:val="Heading 8 Char"/>
    <w:aliases w:val="Appendix 2 Char"/>
    <w:basedOn w:val="DefaultParagraphFont"/>
    <w:link w:val="Heading8"/>
    <w:uiPriority w:val="13"/>
    <w:semiHidden/>
    <w:rsid w:val="00494682"/>
    <w:rPr>
      <w:rFonts w:asciiTheme="majorHAnsi" w:eastAsiaTheme="majorEastAsia" w:hAnsiTheme="majorHAnsi" w:cstheme="majorBidi"/>
      <w:b/>
      <w:color w:val="AE1031" w:themeColor="text2"/>
      <w:sz w:val="28"/>
      <w:szCs w:val="20"/>
      <w:lang w:val="en-GB"/>
    </w:rPr>
  </w:style>
  <w:style w:type="character" w:customStyle="1" w:styleId="Heading9Char">
    <w:name w:val="Heading 9 Char"/>
    <w:aliases w:val="Appendix 3 Char"/>
    <w:basedOn w:val="DefaultParagraphFont"/>
    <w:link w:val="Heading9"/>
    <w:uiPriority w:val="14"/>
    <w:semiHidden/>
    <w:rsid w:val="00F43296"/>
    <w:rPr>
      <w:rFonts w:asciiTheme="majorHAnsi" w:eastAsiaTheme="majorEastAsia" w:hAnsiTheme="majorHAnsi" w:cstheme="majorBidi"/>
      <w:b/>
      <w:iCs/>
      <w:szCs w:val="20"/>
      <w:lang w:val="en-GB"/>
    </w:rPr>
  </w:style>
  <w:style w:type="numbering" w:styleId="ArticleSection">
    <w:name w:val="Outline List 3"/>
    <w:basedOn w:val="NoList"/>
    <w:uiPriority w:val="99"/>
    <w:semiHidden/>
    <w:unhideWhenUsed/>
    <w:rsid w:val="00B91810"/>
    <w:pPr>
      <w:numPr>
        <w:numId w:val="5"/>
      </w:numPr>
    </w:pPr>
  </w:style>
  <w:style w:type="paragraph" w:styleId="Bibliography">
    <w:name w:val="Bibliography"/>
    <w:basedOn w:val="Normal"/>
    <w:next w:val="Normal"/>
    <w:uiPriority w:val="37"/>
    <w:semiHidden/>
    <w:unhideWhenUsed/>
    <w:rsid w:val="00B91810"/>
  </w:style>
  <w:style w:type="paragraph" w:styleId="BlockText">
    <w:name w:val="Block Text"/>
    <w:basedOn w:val="Normal"/>
    <w:uiPriority w:val="99"/>
    <w:semiHidden/>
    <w:unhideWhenUsed/>
    <w:rsid w:val="00B91810"/>
    <w:pPr>
      <w:pBdr>
        <w:top w:val="single" w:sz="2" w:space="10" w:color="86B3CB" w:themeColor="accent1" w:frame="1"/>
        <w:left w:val="single" w:sz="2" w:space="10" w:color="86B3CB" w:themeColor="accent1" w:frame="1"/>
        <w:bottom w:val="single" w:sz="2" w:space="10" w:color="86B3CB" w:themeColor="accent1" w:frame="1"/>
        <w:right w:val="single" w:sz="2" w:space="10" w:color="86B3CB" w:themeColor="accent1" w:frame="1"/>
      </w:pBdr>
      <w:ind w:left="1152" w:right="1152"/>
    </w:pPr>
    <w:rPr>
      <w:rFonts w:eastAsiaTheme="minorEastAsia"/>
      <w:i/>
      <w:iCs/>
      <w:color w:val="86B3CB" w:themeColor="accent1"/>
    </w:rPr>
  </w:style>
  <w:style w:type="paragraph" w:styleId="BodyText">
    <w:name w:val="Body Text"/>
    <w:basedOn w:val="Normal"/>
    <w:link w:val="BodyTextChar"/>
    <w:uiPriority w:val="99"/>
    <w:semiHidden/>
    <w:unhideWhenUsed/>
    <w:rsid w:val="00B91810"/>
  </w:style>
  <w:style w:type="character" w:customStyle="1" w:styleId="BodyTextChar">
    <w:name w:val="Body Text Char"/>
    <w:basedOn w:val="DefaultParagraphFont"/>
    <w:link w:val="BodyText"/>
    <w:uiPriority w:val="99"/>
    <w:semiHidden/>
    <w:rsid w:val="00B91810"/>
    <w:rPr>
      <w:lang w:val="en-GB"/>
    </w:rPr>
  </w:style>
  <w:style w:type="paragraph" w:styleId="BodyText2">
    <w:name w:val="Body Text 2"/>
    <w:basedOn w:val="Normal"/>
    <w:link w:val="BodyText2Char"/>
    <w:uiPriority w:val="99"/>
    <w:semiHidden/>
    <w:unhideWhenUsed/>
    <w:rsid w:val="00B91810"/>
    <w:pPr>
      <w:spacing w:line="480" w:lineRule="auto"/>
    </w:pPr>
  </w:style>
  <w:style w:type="character" w:customStyle="1" w:styleId="BodyText2Char">
    <w:name w:val="Body Text 2 Char"/>
    <w:basedOn w:val="DefaultParagraphFont"/>
    <w:link w:val="BodyText2"/>
    <w:uiPriority w:val="99"/>
    <w:semiHidden/>
    <w:rsid w:val="00B91810"/>
    <w:rPr>
      <w:lang w:val="en-GB"/>
    </w:rPr>
  </w:style>
  <w:style w:type="paragraph" w:styleId="BodyText3">
    <w:name w:val="Body Text 3"/>
    <w:basedOn w:val="Normal"/>
    <w:link w:val="BodyText3Char"/>
    <w:uiPriority w:val="99"/>
    <w:semiHidden/>
    <w:unhideWhenUsed/>
    <w:rsid w:val="00B91810"/>
    <w:rPr>
      <w:sz w:val="16"/>
      <w:szCs w:val="16"/>
    </w:rPr>
  </w:style>
  <w:style w:type="character" w:customStyle="1" w:styleId="BodyText3Char">
    <w:name w:val="Body Text 3 Char"/>
    <w:basedOn w:val="DefaultParagraphFont"/>
    <w:link w:val="BodyText3"/>
    <w:uiPriority w:val="99"/>
    <w:semiHidden/>
    <w:rsid w:val="00B91810"/>
    <w:rPr>
      <w:sz w:val="16"/>
      <w:szCs w:val="16"/>
      <w:lang w:val="en-GB"/>
    </w:rPr>
  </w:style>
  <w:style w:type="paragraph" w:styleId="BodyTextFirstIndent">
    <w:name w:val="Body Text First Indent"/>
    <w:basedOn w:val="BodyText"/>
    <w:link w:val="BodyTextFirstIndentChar"/>
    <w:uiPriority w:val="99"/>
    <w:semiHidden/>
    <w:unhideWhenUsed/>
    <w:rsid w:val="00B91810"/>
    <w:pPr>
      <w:spacing w:after="42"/>
      <w:ind w:firstLine="360"/>
    </w:pPr>
  </w:style>
  <w:style w:type="character" w:customStyle="1" w:styleId="BodyTextFirstIndentChar">
    <w:name w:val="Body Text First Indent Char"/>
    <w:basedOn w:val="BodyTextChar"/>
    <w:link w:val="BodyTextFirstIndent"/>
    <w:uiPriority w:val="99"/>
    <w:semiHidden/>
    <w:rsid w:val="00B91810"/>
    <w:rPr>
      <w:lang w:val="en-GB"/>
    </w:rPr>
  </w:style>
  <w:style w:type="paragraph" w:styleId="BodyTextIndent">
    <w:name w:val="Body Text Indent"/>
    <w:basedOn w:val="Normal"/>
    <w:link w:val="BodyTextIndentChar"/>
    <w:uiPriority w:val="99"/>
    <w:semiHidden/>
    <w:unhideWhenUsed/>
    <w:rsid w:val="00B91810"/>
    <w:pPr>
      <w:ind w:left="283"/>
    </w:pPr>
  </w:style>
  <w:style w:type="character" w:customStyle="1" w:styleId="BodyTextIndentChar">
    <w:name w:val="Body Text Indent Char"/>
    <w:basedOn w:val="DefaultParagraphFont"/>
    <w:link w:val="BodyTextIndent"/>
    <w:uiPriority w:val="99"/>
    <w:semiHidden/>
    <w:rsid w:val="00B91810"/>
    <w:rPr>
      <w:lang w:val="en-GB"/>
    </w:rPr>
  </w:style>
  <w:style w:type="paragraph" w:styleId="BodyTextFirstIndent2">
    <w:name w:val="Body Text First Indent 2"/>
    <w:basedOn w:val="BodyTextIndent"/>
    <w:link w:val="BodyTextFirstIndent2Char"/>
    <w:uiPriority w:val="99"/>
    <w:semiHidden/>
    <w:unhideWhenUsed/>
    <w:rsid w:val="00B91810"/>
    <w:pPr>
      <w:spacing w:after="42"/>
      <w:ind w:left="360" w:firstLine="360"/>
    </w:pPr>
  </w:style>
  <w:style w:type="character" w:customStyle="1" w:styleId="BodyTextFirstIndent2Char">
    <w:name w:val="Body Text First Indent 2 Char"/>
    <w:basedOn w:val="BodyTextIndentChar"/>
    <w:link w:val="BodyTextFirstIndent2"/>
    <w:uiPriority w:val="99"/>
    <w:semiHidden/>
    <w:rsid w:val="00B91810"/>
    <w:rPr>
      <w:lang w:val="en-GB"/>
    </w:rPr>
  </w:style>
  <w:style w:type="paragraph" w:styleId="BodyTextIndent2">
    <w:name w:val="Body Text Indent 2"/>
    <w:basedOn w:val="Normal"/>
    <w:link w:val="BodyTextIndent2Char"/>
    <w:uiPriority w:val="99"/>
    <w:semiHidden/>
    <w:unhideWhenUsed/>
    <w:rsid w:val="00B91810"/>
    <w:pPr>
      <w:spacing w:line="480" w:lineRule="auto"/>
      <w:ind w:left="283"/>
    </w:pPr>
  </w:style>
  <w:style w:type="character" w:customStyle="1" w:styleId="BodyTextIndent2Char">
    <w:name w:val="Body Text Indent 2 Char"/>
    <w:basedOn w:val="DefaultParagraphFont"/>
    <w:link w:val="BodyTextIndent2"/>
    <w:uiPriority w:val="99"/>
    <w:semiHidden/>
    <w:rsid w:val="00B91810"/>
    <w:rPr>
      <w:lang w:val="en-GB"/>
    </w:rPr>
  </w:style>
  <w:style w:type="paragraph" w:styleId="BodyTextIndent3">
    <w:name w:val="Body Text Indent 3"/>
    <w:basedOn w:val="Normal"/>
    <w:link w:val="BodyTextIndent3Char"/>
    <w:uiPriority w:val="99"/>
    <w:semiHidden/>
    <w:unhideWhenUsed/>
    <w:rsid w:val="00B91810"/>
    <w:pPr>
      <w:ind w:left="283"/>
    </w:pPr>
    <w:rPr>
      <w:sz w:val="16"/>
      <w:szCs w:val="16"/>
    </w:rPr>
  </w:style>
  <w:style w:type="character" w:customStyle="1" w:styleId="BodyTextIndent3Char">
    <w:name w:val="Body Text Indent 3 Char"/>
    <w:basedOn w:val="DefaultParagraphFont"/>
    <w:link w:val="BodyTextIndent3"/>
    <w:uiPriority w:val="99"/>
    <w:semiHidden/>
    <w:rsid w:val="00B91810"/>
    <w:rPr>
      <w:sz w:val="16"/>
      <w:szCs w:val="16"/>
      <w:lang w:val="en-GB"/>
    </w:rPr>
  </w:style>
  <w:style w:type="character" w:styleId="BookTitle">
    <w:name w:val="Book Title"/>
    <w:basedOn w:val="DefaultParagraphFont"/>
    <w:uiPriority w:val="33"/>
    <w:semiHidden/>
    <w:rsid w:val="00B91810"/>
    <w:rPr>
      <w:b/>
      <w:bCs/>
      <w:smallCaps/>
      <w:spacing w:val="5"/>
      <w:lang w:val="en-GB"/>
    </w:rPr>
  </w:style>
  <w:style w:type="paragraph" w:styleId="Closing">
    <w:name w:val="Closing"/>
    <w:basedOn w:val="Normal"/>
    <w:link w:val="ClosingChar"/>
    <w:uiPriority w:val="99"/>
    <w:semiHidden/>
    <w:unhideWhenUsed/>
    <w:rsid w:val="00B91810"/>
    <w:pPr>
      <w:spacing w:after="0" w:line="240" w:lineRule="auto"/>
      <w:ind w:left="4252"/>
    </w:pPr>
  </w:style>
  <w:style w:type="character" w:customStyle="1" w:styleId="ClosingChar">
    <w:name w:val="Closing Char"/>
    <w:basedOn w:val="DefaultParagraphFont"/>
    <w:link w:val="Closing"/>
    <w:uiPriority w:val="99"/>
    <w:semiHidden/>
    <w:rsid w:val="00B91810"/>
    <w:rPr>
      <w:lang w:val="en-GB"/>
    </w:rPr>
  </w:style>
  <w:style w:type="table" w:styleId="ColorfulGrid">
    <w:name w:val="Colorful Grid"/>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E6EFF4" w:themeFill="accent1" w:themeFillTint="33"/>
    </w:tcPr>
    <w:tblStylePr w:type="firstRow">
      <w:rPr>
        <w:b/>
        <w:bCs/>
      </w:rPr>
      <w:tblPr/>
      <w:tcPr>
        <w:shd w:val="clear" w:color="auto" w:fill="CEE0EA" w:themeFill="accent1" w:themeFillTint="66"/>
      </w:tcPr>
    </w:tblStylePr>
    <w:tblStylePr w:type="lastRow">
      <w:rPr>
        <w:b/>
        <w:bCs/>
        <w:color w:val="000000" w:themeColor="text1"/>
      </w:rPr>
      <w:tblPr/>
      <w:tcPr>
        <w:shd w:val="clear" w:color="auto" w:fill="CEE0EA" w:themeFill="accent1" w:themeFillTint="66"/>
      </w:tcPr>
    </w:tblStylePr>
    <w:tblStylePr w:type="firstCol">
      <w:rPr>
        <w:color w:val="FFFFFF" w:themeColor="background1"/>
      </w:rPr>
      <w:tblPr/>
      <w:tcPr>
        <w:shd w:val="clear" w:color="auto" w:fill="4C8DB0" w:themeFill="accent1" w:themeFillShade="BF"/>
      </w:tcPr>
    </w:tblStylePr>
    <w:tblStylePr w:type="lastCol">
      <w:rPr>
        <w:color w:val="FFFFFF" w:themeColor="background1"/>
      </w:rPr>
      <w:tblPr/>
      <w:tcPr>
        <w:shd w:val="clear" w:color="auto" w:fill="4C8DB0" w:themeFill="accent1" w:themeFillShade="BF"/>
      </w:tcPr>
    </w:tblStylePr>
    <w:tblStylePr w:type="band1Vert">
      <w:tblPr/>
      <w:tcPr>
        <w:shd w:val="clear" w:color="auto" w:fill="C2D9E5" w:themeFill="accent1" w:themeFillTint="7F"/>
      </w:tcPr>
    </w:tblStylePr>
    <w:tblStylePr w:type="band1Horz">
      <w:tblPr/>
      <w:tcPr>
        <w:shd w:val="clear" w:color="auto" w:fill="C2D9E5" w:themeFill="accent1" w:themeFillTint="7F"/>
      </w:tcPr>
    </w:tblStylePr>
  </w:style>
  <w:style w:type="table" w:styleId="ColorfulGrid-Accent2">
    <w:name w:val="Colorful Grid Accent 2"/>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E9E0EA" w:themeFill="accent2" w:themeFillTint="33"/>
    </w:tcPr>
    <w:tblStylePr w:type="firstRow">
      <w:rPr>
        <w:b/>
        <w:bCs/>
      </w:rPr>
      <w:tblPr/>
      <w:tcPr>
        <w:shd w:val="clear" w:color="auto" w:fill="D3C2D6" w:themeFill="accent2" w:themeFillTint="66"/>
      </w:tcPr>
    </w:tblStylePr>
    <w:tblStylePr w:type="lastRow">
      <w:rPr>
        <w:b/>
        <w:bCs/>
        <w:color w:val="000000" w:themeColor="text1"/>
      </w:rPr>
      <w:tblPr/>
      <w:tcPr>
        <w:shd w:val="clear" w:color="auto" w:fill="D3C2D6" w:themeFill="accent2" w:themeFillTint="66"/>
      </w:tcPr>
    </w:tblStylePr>
    <w:tblStylePr w:type="firstCol">
      <w:rPr>
        <w:color w:val="FFFFFF" w:themeColor="background1"/>
      </w:rPr>
      <w:tblPr/>
      <w:tcPr>
        <w:shd w:val="clear" w:color="auto" w:fill="6D4D72" w:themeFill="accent2" w:themeFillShade="BF"/>
      </w:tcPr>
    </w:tblStylePr>
    <w:tblStylePr w:type="lastCol">
      <w:rPr>
        <w:color w:val="FFFFFF" w:themeColor="background1"/>
      </w:rPr>
      <w:tblPr/>
      <w:tcPr>
        <w:shd w:val="clear" w:color="auto" w:fill="6D4D72" w:themeFill="accent2" w:themeFillShade="BF"/>
      </w:tcPr>
    </w:tblStylePr>
    <w:tblStylePr w:type="band1Vert">
      <w:tblPr/>
      <w:tcPr>
        <w:shd w:val="clear" w:color="auto" w:fill="C8B3CC" w:themeFill="accent2" w:themeFillTint="7F"/>
      </w:tcPr>
    </w:tblStylePr>
    <w:tblStylePr w:type="band1Horz">
      <w:tblPr/>
      <w:tcPr>
        <w:shd w:val="clear" w:color="auto" w:fill="C8B3CC" w:themeFill="accent2" w:themeFillTint="7F"/>
      </w:tcPr>
    </w:tblStylePr>
  </w:style>
  <w:style w:type="table" w:styleId="ColorfulGrid-Accent3">
    <w:name w:val="Colorful Grid Accent 3"/>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E4F3E3" w:themeFill="accent3" w:themeFillTint="33"/>
    </w:tcPr>
    <w:tblStylePr w:type="firstRow">
      <w:rPr>
        <w:b/>
        <w:bCs/>
      </w:rPr>
      <w:tblPr/>
      <w:tcPr>
        <w:shd w:val="clear" w:color="auto" w:fill="CAE7C7" w:themeFill="accent3" w:themeFillTint="66"/>
      </w:tcPr>
    </w:tblStylePr>
    <w:tblStylePr w:type="lastRow">
      <w:rPr>
        <w:b/>
        <w:bCs/>
        <w:color w:val="000000" w:themeColor="text1"/>
      </w:rPr>
      <w:tblPr/>
      <w:tcPr>
        <w:shd w:val="clear" w:color="auto" w:fill="CAE7C7" w:themeFill="accent3" w:themeFillTint="66"/>
      </w:tcPr>
    </w:tblStylePr>
    <w:tblStylePr w:type="firstCol">
      <w:rPr>
        <w:color w:val="FFFFFF" w:themeColor="background1"/>
      </w:rPr>
      <w:tblPr/>
      <w:tcPr>
        <w:shd w:val="clear" w:color="auto" w:fill="4FA545" w:themeFill="accent3" w:themeFillShade="BF"/>
      </w:tcPr>
    </w:tblStylePr>
    <w:tblStylePr w:type="lastCol">
      <w:rPr>
        <w:color w:val="FFFFFF" w:themeColor="background1"/>
      </w:rPr>
      <w:tblPr/>
      <w:tcPr>
        <w:shd w:val="clear" w:color="auto" w:fill="4FA545" w:themeFill="accent3" w:themeFillShade="BF"/>
      </w:tcPr>
    </w:tblStylePr>
    <w:tblStylePr w:type="band1Vert">
      <w:tblPr/>
      <w:tcPr>
        <w:shd w:val="clear" w:color="auto" w:fill="BDE2B9" w:themeFill="accent3" w:themeFillTint="7F"/>
      </w:tcPr>
    </w:tblStylePr>
    <w:tblStylePr w:type="band1Horz">
      <w:tblPr/>
      <w:tcPr>
        <w:shd w:val="clear" w:color="auto" w:fill="BDE2B9" w:themeFill="accent3" w:themeFillTint="7F"/>
      </w:tcPr>
    </w:tblStylePr>
  </w:style>
  <w:style w:type="table" w:styleId="ColorfulGrid-Accent4">
    <w:name w:val="Colorful Grid Accent 4"/>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DEAD4" w:themeFill="accent4" w:themeFillTint="33"/>
    </w:tcPr>
    <w:tblStylePr w:type="firstRow">
      <w:rPr>
        <w:b/>
        <w:bCs/>
      </w:rPr>
      <w:tblPr/>
      <w:tcPr>
        <w:shd w:val="clear" w:color="auto" w:fill="FCD5AA" w:themeFill="accent4" w:themeFillTint="66"/>
      </w:tcPr>
    </w:tblStylePr>
    <w:tblStylePr w:type="lastRow">
      <w:rPr>
        <w:b/>
        <w:bCs/>
        <w:color w:val="000000" w:themeColor="text1"/>
      </w:rPr>
      <w:tblPr/>
      <w:tcPr>
        <w:shd w:val="clear" w:color="auto" w:fill="FCD5AA" w:themeFill="accent4" w:themeFillTint="66"/>
      </w:tcPr>
    </w:tblStylePr>
    <w:tblStylePr w:type="firstCol">
      <w:rPr>
        <w:color w:val="FFFFFF" w:themeColor="background1"/>
      </w:rPr>
      <w:tblPr/>
      <w:tcPr>
        <w:shd w:val="clear" w:color="auto" w:fill="D47207" w:themeFill="accent4" w:themeFillShade="BF"/>
      </w:tcPr>
    </w:tblStylePr>
    <w:tblStylePr w:type="lastCol">
      <w:rPr>
        <w:color w:val="FFFFFF" w:themeColor="background1"/>
      </w:rPr>
      <w:tblPr/>
      <w:tcPr>
        <w:shd w:val="clear" w:color="auto" w:fill="D47207" w:themeFill="accent4" w:themeFillShade="BF"/>
      </w:tcPr>
    </w:tblStylePr>
    <w:tblStylePr w:type="band1Vert">
      <w:tblPr/>
      <w:tcPr>
        <w:shd w:val="clear" w:color="auto" w:fill="FBCB96" w:themeFill="accent4" w:themeFillTint="7F"/>
      </w:tcPr>
    </w:tblStylePr>
    <w:tblStylePr w:type="band1Horz">
      <w:tblPr/>
      <w:tcPr>
        <w:shd w:val="clear" w:color="auto" w:fill="FBCB96" w:themeFill="accent4" w:themeFillTint="7F"/>
      </w:tcPr>
    </w:tblStylePr>
  </w:style>
  <w:style w:type="table" w:styleId="ColorfulGrid-Accent5">
    <w:name w:val="Colorful Grid Accent 5"/>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D2EFEE" w:themeFill="accent5" w:themeFillTint="33"/>
    </w:tcPr>
    <w:tblStylePr w:type="firstRow">
      <w:rPr>
        <w:b/>
        <w:bCs/>
      </w:rPr>
      <w:tblPr/>
      <w:tcPr>
        <w:shd w:val="clear" w:color="auto" w:fill="A5DFDE" w:themeFill="accent5" w:themeFillTint="66"/>
      </w:tcPr>
    </w:tblStylePr>
    <w:tblStylePr w:type="lastRow">
      <w:rPr>
        <w:b/>
        <w:bCs/>
        <w:color w:val="000000" w:themeColor="text1"/>
      </w:rPr>
      <w:tblPr/>
      <w:tcPr>
        <w:shd w:val="clear" w:color="auto" w:fill="A5DFDE" w:themeFill="accent5" w:themeFillTint="66"/>
      </w:tcPr>
    </w:tblStylePr>
    <w:tblStylePr w:type="firstCol">
      <w:rPr>
        <w:color w:val="FFFFFF" w:themeColor="background1"/>
      </w:rPr>
      <w:tblPr/>
      <w:tcPr>
        <w:shd w:val="clear" w:color="auto" w:fill="287371" w:themeFill="accent5" w:themeFillShade="BF"/>
      </w:tcPr>
    </w:tblStylePr>
    <w:tblStylePr w:type="lastCol">
      <w:rPr>
        <w:color w:val="FFFFFF" w:themeColor="background1"/>
      </w:rPr>
      <w:tblPr/>
      <w:tcPr>
        <w:shd w:val="clear" w:color="auto" w:fill="287371" w:themeFill="accent5" w:themeFillShade="BF"/>
      </w:tcPr>
    </w:tblStylePr>
    <w:tblStylePr w:type="band1Vert">
      <w:tblPr/>
      <w:tcPr>
        <w:shd w:val="clear" w:color="auto" w:fill="8FD8D6" w:themeFill="accent5" w:themeFillTint="7F"/>
      </w:tcPr>
    </w:tblStylePr>
    <w:tblStylePr w:type="band1Horz">
      <w:tblPr/>
      <w:tcPr>
        <w:shd w:val="clear" w:color="auto" w:fill="8FD8D6" w:themeFill="accent5" w:themeFillTint="7F"/>
      </w:tcPr>
    </w:tblStylePr>
  </w:style>
  <w:style w:type="table" w:styleId="ColorfulGrid-Accent6">
    <w:name w:val="Colorful Grid Accent 6"/>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BFDFE" w:themeFill="accent6" w:themeFillTint="33"/>
    </w:tcPr>
    <w:tblStylePr w:type="firstRow">
      <w:rPr>
        <w:b/>
        <w:bCs/>
      </w:rPr>
      <w:tblPr/>
      <w:tcPr>
        <w:shd w:val="clear" w:color="auto" w:fill="F8FBFD" w:themeFill="accent6" w:themeFillTint="66"/>
      </w:tcPr>
    </w:tblStylePr>
    <w:tblStylePr w:type="lastRow">
      <w:rPr>
        <w:b/>
        <w:bCs/>
        <w:color w:val="000000" w:themeColor="text1"/>
      </w:rPr>
      <w:tblPr/>
      <w:tcPr>
        <w:shd w:val="clear" w:color="auto" w:fill="F8FBFD" w:themeFill="accent6" w:themeFillTint="66"/>
      </w:tcPr>
    </w:tblStylePr>
    <w:tblStylePr w:type="firstCol">
      <w:rPr>
        <w:color w:val="FFFFFF" w:themeColor="background1"/>
      </w:rPr>
      <w:tblPr/>
      <w:tcPr>
        <w:shd w:val="clear" w:color="auto" w:fill="91C1DC" w:themeFill="accent6" w:themeFillShade="BF"/>
      </w:tcPr>
    </w:tblStylePr>
    <w:tblStylePr w:type="lastCol">
      <w:rPr>
        <w:color w:val="FFFFFF" w:themeColor="background1"/>
      </w:rPr>
      <w:tblPr/>
      <w:tcPr>
        <w:shd w:val="clear" w:color="auto" w:fill="91C1DC" w:themeFill="accent6" w:themeFillShade="BF"/>
      </w:tcPr>
    </w:tblStylePr>
    <w:tblStylePr w:type="band1Vert">
      <w:tblPr/>
      <w:tcPr>
        <w:shd w:val="clear" w:color="auto" w:fill="F6FAFC" w:themeFill="accent6" w:themeFillTint="7F"/>
      </w:tcPr>
    </w:tblStylePr>
    <w:tblStylePr w:type="band1Horz">
      <w:tblPr/>
      <w:tcPr>
        <w:shd w:val="clear" w:color="auto" w:fill="F6FAFC" w:themeFill="accent6" w:themeFillTint="7F"/>
      </w:tcPr>
    </w:tblStylePr>
  </w:style>
  <w:style w:type="table" w:styleId="ColorfulList">
    <w:name w:val="Colorful List"/>
    <w:basedOn w:val="TableNormal"/>
    <w:uiPriority w:val="72"/>
    <w:semiHidden/>
    <w:rsid w:val="00B9181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4527A" w:themeFill="accent2" w:themeFillShade="CC"/>
      </w:tcPr>
    </w:tblStylePr>
    <w:tblStylePr w:type="lastRow">
      <w:rPr>
        <w:b/>
        <w:bCs/>
        <w:color w:val="7452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B91810"/>
    <w:pPr>
      <w:spacing w:after="0" w:line="240" w:lineRule="auto"/>
    </w:pPr>
    <w:tblPr>
      <w:tblStyleRowBandSize w:val="1"/>
      <w:tblStyleColBandSize w:val="1"/>
    </w:tblPr>
    <w:tcPr>
      <w:shd w:val="clear" w:color="auto" w:fill="F3F7FA" w:themeFill="accent1" w:themeFillTint="19"/>
    </w:tcPr>
    <w:tblStylePr w:type="firstRow">
      <w:rPr>
        <w:b/>
        <w:bCs/>
        <w:color w:val="FFFFFF" w:themeColor="background1"/>
      </w:rPr>
      <w:tblPr/>
      <w:tcPr>
        <w:tcBorders>
          <w:bottom w:val="single" w:sz="12" w:space="0" w:color="FFFFFF" w:themeColor="background1"/>
        </w:tcBorders>
        <w:shd w:val="clear" w:color="auto" w:fill="74527A" w:themeFill="accent2" w:themeFillShade="CC"/>
      </w:tcPr>
    </w:tblStylePr>
    <w:tblStylePr w:type="lastRow">
      <w:rPr>
        <w:b/>
        <w:bCs/>
        <w:color w:val="7452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CF2" w:themeFill="accent1" w:themeFillTint="3F"/>
      </w:tcPr>
    </w:tblStylePr>
    <w:tblStylePr w:type="band1Horz">
      <w:tblPr/>
      <w:tcPr>
        <w:shd w:val="clear" w:color="auto" w:fill="E6EFF4" w:themeFill="accent1" w:themeFillTint="33"/>
      </w:tcPr>
    </w:tblStylePr>
  </w:style>
  <w:style w:type="table" w:styleId="ColorfulList-Accent2">
    <w:name w:val="Colorful List Accent 2"/>
    <w:basedOn w:val="TableNormal"/>
    <w:uiPriority w:val="72"/>
    <w:semiHidden/>
    <w:rsid w:val="00B91810"/>
    <w:pPr>
      <w:spacing w:after="0" w:line="240" w:lineRule="auto"/>
    </w:pPr>
    <w:tblPr>
      <w:tblStyleRowBandSize w:val="1"/>
      <w:tblStyleColBandSize w:val="1"/>
    </w:tblPr>
    <w:tcPr>
      <w:shd w:val="clear" w:color="auto" w:fill="F4F0F5" w:themeFill="accent2" w:themeFillTint="19"/>
    </w:tcPr>
    <w:tblStylePr w:type="firstRow">
      <w:rPr>
        <w:b/>
        <w:bCs/>
        <w:color w:val="FFFFFF" w:themeColor="background1"/>
      </w:rPr>
      <w:tblPr/>
      <w:tcPr>
        <w:tcBorders>
          <w:bottom w:val="single" w:sz="12" w:space="0" w:color="FFFFFF" w:themeColor="background1"/>
        </w:tcBorders>
        <w:shd w:val="clear" w:color="auto" w:fill="74527A" w:themeFill="accent2" w:themeFillShade="CC"/>
      </w:tcPr>
    </w:tblStylePr>
    <w:tblStylePr w:type="lastRow">
      <w:rPr>
        <w:b/>
        <w:bCs/>
        <w:color w:val="7452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9E5" w:themeFill="accent2" w:themeFillTint="3F"/>
      </w:tcPr>
    </w:tblStylePr>
    <w:tblStylePr w:type="band1Horz">
      <w:tblPr/>
      <w:tcPr>
        <w:shd w:val="clear" w:color="auto" w:fill="E9E0EA" w:themeFill="accent2" w:themeFillTint="33"/>
      </w:tcPr>
    </w:tblStylePr>
  </w:style>
  <w:style w:type="table" w:styleId="ColorfulList-Accent3">
    <w:name w:val="Colorful List Accent 3"/>
    <w:basedOn w:val="TableNormal"/>
    <w:uiPriority w:val="72"/>
    <w:semiHidden/>
    <w:rsid w:val="00B91810"/>
    <w:pPr>
      <w:spacing w:after="0" w:line="240" w:lineRule="auto"/>
    </w:pPr>
    <w:tblPr>
      <w:tblStyleRowBandSize w:val="1"/>
      <w:tblStyleColBandSize w:val="1"/>
    </w:tblPr>
    <w:tcPr>
      <w:shd w:val="clear" w:color="auto" w:fill="F2F9F1" w:themeFill="accent3" w:themeFillTint="19"/>
    </w:tcPr>
    <w:tblStylePr w:type="firstRow">
      <w:rPr>
        <w:b/>
        <w:bCs/>
        <w:color w:val="FFFFFF" w:themeColor="background1"/>
      </w:rPr>
      <w:tblPr/>
      <w:tcPr>
        <w:tcBorders>
          <w:bottom w:val="single" w:sz="12" w:space="0" w:color="FFFFFF" w:themeColor="background1"/>
        </w:tcBorders>
        <w:shd w:val="clear" w:color="auto" w:fill="E27A07" w:themeFill="accent4" w:themeFillShade="CC"/>
      </w:tcPr>
    </w:tblStylePr>
    <w:tblStylePr w:type="lastRow">
      <w:rPr>
        <w:b/>
        <w:bCs/>
        <w:color w:val="E27A0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0DC" w:themeFill="accent3" w:themeFillTint="3F"/>
      </w:tcPr>
    </w:tblStylePr>
    <w:tblStylePr w:type="band1Horz">
      <w:tblPr/>
      <w:tcPr>
        <w:shd w:val="clear" w:color="auto" w:fill="E4F3E3" w:themeFill="accent3" w:themeFillTint="33"/>
      </w:tcPr>
    </w:tblStylePr>
  </w:style>
  <w:style w:type="table" w:styleId="ColorfulList-Accent4">
    <w:name w:val="Colorful List Accent 4"/>
    <w:basedOn w:val="TableNormal"/>
    <w:uiPriority w:val="72"/>
    <w:semiHidden/>
    <w:rsid w:val="00B91810"/>
    <w:pPr>
      <w:spacing w:after="0" w:line="240" w:lineRule="auto"/>
    </w:pPr>
    <w:tblPr>
      <w:tblStyleRowBandSize w:val="1"/>
      <w:tblStyleColBandSize w:val="1"/>
    </w:tblPr>
    <w:tcPr>
      <w:shd w:val="clear" w:color="auto" w:fill="FEF4EA" w:themeFill="accent4" w:themeFillTint="19"/>
    </w:tcPr>
    <w:tblStylePr w:type="firstRow">
      <w:rPr>
        <w:b/>
        <w:bCs/>
        <w:color w:val="FFFFFF" w:themeColor="background1"/>
      </w:rPr>
      <w:tblPr/>
      <w:tcPr>
        <w:tcBorders>
          <w:bottom w:val="single" w:sz="12" w:space="0" w:color="FFFFFF" w:themeColor="background1"/>
        </w:tcBorders>
        <w:shd w:val="clear" w:color="auto" w:fill="55B049" w:themeFill="accent3" w:themeFillShade="CC"/>
      </w:tcPr>
    </w:tblStylePr>
    <w:tblStylePr w:type="lastRow">
      <w:rPr>
        <w:b/>
        <w:bCs/>
        <w:color w:val="55B04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B" w:themeFill="accent4" w:themeFillTint="3F"/>
      </w:tcPr>
    </w:tblStylePr>
    <w:tblStylePr w:type="band1Horz">
      <w:tblPr/>
      <w:tcPr>
        <w:shd w:val="clear" w:color="auto" w:fill="FDEAD4" w:themeFill="accent4" w:themeFillTint="33"/>
      </w:tcPr>
    </w:tblStylePr>
  </w:style>
  <w:style w:type="table" w:styleId="ColorfulList-Accent5">
    <w:name w:val="Colorful List Accent 5"/>
    <w:basedOn w:val="TableNormal"/>
    <w:uiPriority w:val="72"/>
    <w:semiHidden/>
    <w:rsid w:val="00B91810"/>
    <w:pPr>
      <w:spacing w:after="0" w:line="240" w:lineRule="auto"/>
    </w:pPr>
    <w:tblPr>
      <w:tblStyleRowBandSize w:val="1"/>
      <w:tblStyleColBandSize w:val="1"/>
    </w:tblPr>
    <w:tcPr>
      <w:shd w:val="clear" w:color="auto" w:fill="E9F7F6" w:themeFill="accent5" w:themeFillTint="19"/>
    </w:tcPr>
    <w:tblStylePr w:type="firstRow">
      <w:rPr>
        <w:b/>
        <w:bCs/>
        <w:color w:val="FFFFFF" w:themeColor="background1"/>
      </w:rPr>
      <w:tblPr/>
      <w:tcPr>
        <w:tcBorders>
          <w:bottom w:val="single" w:sz="12" w:space="0" w:color="FFFFFF" w:themeColor="background1"/>
        </w:tcBorders>
        <w:shd w:val="clear" w:color="auto" w:fill="A4CBE2" w:themeFill="accent6" w:themeFillShade="CC"/>
      </w:tcPr>
    </w:tblStylePr>
    <w:tblStylePr w:type="lastRow">
      <w:rPr>
        <w:b/>
        <w:bCs/>
        <w:color w:val="A4CBE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EBEA" w:themeFill="accent5" w:themeFillTint="3F"/>
      </w:tcPr>
    </w:tblStylePr>
    <w:tblStylePr w:type="band1Horz">
      <w:tblPr/>
      <w:tcPr>
        <w:shd w:val="clear" w:color="auto" w:fill="D2EFEE" w:themeFill="accent5" w:themeFillTint="33"/>
      </w:tcPr>
    </w:tblStylePr>
  </w:style>
  <w:style w:type="table" w:styleId="ColorfulList-Accent6">
    <w:name w:val="Colorful List Accent 6"/>
    <w:basedOn w:val="TableNormal"/>
    <w:uiPriority w:val="72"/>
    <w:semiHidden/>
    <w:rsid w:val="00B91810"/>
    <w:pPr>
      <w:spacing w:after="0" w:line="240" w:lineRule="auto"/>
    </w:pPr>
    <w:tblPr>
      <w:tblStyleRowBandSize w:val="1"/>
      <w:tblStyleColBandSize w:val="1"/>
    </w:tblPr>
    <w:tcPr>
      <w:shd w:val="clear" w:color="auto" w:fill="FDFEFE" w:themeFill="accent6" w:themeFillTint="19"/>
    </w:tcPr>
    <w:tblStylePr w:type="firstRow">
      <w:rPr>
        <w:b/>
        <w:bCs/>
        <w:color w:val="FFFFFF" w:themeColor="background1"/>
      </w:rPr>
      <w:tblPr/>
      <w:tcPr>
        <w:tcBorders>
          <w:bottom w:val="single" w:sz="12" w:space="0" w:color="FFFFFF" w:themeColor="background1"/>
        </w:tcBorders>
        <w:shd w:val="clear" w:color="auto" w:fill="2B7B79" w:themeFill="accent5" w:themeFillShade="CC"/>
      </w:tcPr>
    </w:tblStylePr>
    <w:tblStylePr w:type="lastRow">
      <w:rPr>
        <w:b/>
        <w:bCs/>
        <w:color w:val="2B7B7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D" w:themeFill="accent6" w:themeFillTint="3F"/>
      </w:tcPr>
    </w:tblStylePr>
    <w:tblStylePr w:type="band1Horz">
      <w:tblPr/>
      <w:tcPr>
        <w:shd w:val="clear" w:color="auto" w:fill="FBFDFE" w:themeFill="accent6" w:themeFillTint="33"/>
      </w:tcPr>
    </w:tblStylePr>
  </w:style>
  <w:style w:type="table" w:styleId="ColorfulShading">
    <w:name w:val="Colorful Shading"/>
    <w:basedOn w:val="TableNormal"/>
    <w:uiPriority w:val="71"/>
    <w:semiHidden/>
    <w:rsid w:val="00B91810"/>
    <w:pPr>
      <w:spacing w:after="0" w:line="240" w:lineRule="auto"/>
    </w:pPr>
    <w:tblPr>
      <w:tblStyleRowBandSize w:val="1"/>
      <w:tblStyleColBandSize w:val="1"/>
      <w:tblBorders>
        <w:top w:val="single" w:sz="24" w:space="0" w:color="92689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2689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B91810"/>
    <w:pPr>
      <w:spacing w:after="0" w:line="240" w:lineRule="auto"/>
    </w:pPr>
    <w:tblPr>
      <w:tblStyleRowBandSize w:val="1"/>
      <w:tblStyleColBandSize w:val="1"/>
      <w:tblBorders>
        <w:top w:val="single" w:sz="24" w:space="0" w:color="926899" w:themeColor="accent2"/>
        <w:left w:val="single" w:sz="4" w:space="0" w:color="86B3CB" w:themeColor="accent1"/>
        <w:bottom w:val="single" w:sz="4" w:space="0" w:color="86B3CB" w:themeColor="accent1"/>
        <w:right w:val="single" w:sz="4" w:space="0" w:color="86B3CB" w:themeColor="accent1"/>
        <w:insideH w:val="single" w:sz="4" w:space="0" w:color="FFFFFF" w:themeColor="background1"/>
        <w:insideV w:val="single" w:sz="4" w:space="0" w:color="FFFFFF" w:themeColor="background1"/>
      </w:tblBorders>
    </w:tblPr>
    <w:tcPr>
      <w:shd w:val="clear" w:color="auto" w:fill="F3F7FA" w:themeFill="accent1" w:themeFillTint="19"/>
    </w:tcPr>
    <w:tblStylePr w:type="firstRow">
      <w:rPr>
        <w:b/>
        <w:bCs/>
      </w:rPr>
      <w:tblPr/>
      <w:tcPr>
        <w:tcBorders>
          <w:top w:val="nil"/>
          <w:left w:val="nil"/>
          <w:bottom w:val="single" w:sz="24" w:space="0" w:color="92689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718D" w:themeFill="accent1" w:themeFillShade="99"/>
      </w:tcPr>
    </w:tblStylePr>
    <w:tblStylePr w:type="firstCol">
      <w:rPr>
        <w:color w:val="FFFFFF" w:themeColor="background1"/>
      </w:rPr>
      <w:tblPr/>
      <w:tcPr>
        <w:tcBorders>
          <w:top w:val="nil"/>
          <w:left w:val="nil"/>
          <w:bottom w:val="nil"/>
          <w:right w:val="nil"/>
          <w:insideH w:val="single" w:sz="4" w:space="0" w:color="3C718D" w:themeColor="accent1" w:themeShade="99"/>
          <w:insideV w:val="nil"/>
        </w:tcBorders>
        <w:shd w:val="clear" w:color="auto" w:fill="3C718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718D" w:themeFill="accent1" w:themeFillShade="99"/>
      </w:tcPr>
    </w:tblStylePr>
    <w:tblStylePr w:type="band1Vert">
      <w:tblPr/>
      <w:tcPr>
        <w:shd w:val="clear" w:color="auto" w:fill="CEE0EA" w:themeFill="accent1" w:themeFillTint="66"/>
      </w:tcPr>
    </w:tblStylePr>
    <w:tblStylePr w:type="band1Horz">
      <w:tblPr/>
      <w:tcPr>
        <w:shd w:val="clear" w:color="auto" w:fill="C2D9E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B91810"/>
    <w:pPr>
      <w:spacing w:after="0" w:line="240" w:lineRule="auto"/>
    </w:pPr>
    <w:tblPr>
      <w:tblStyleRowBandSize w:val="1"/>
      <w:tblStyleColBandSize w:val="1"/>
      <w:tblBorders>
        <w:top w:val="single" w:sz="24" w:space="0" w:color="926899" w:themeColor="accent2"/>
        <w:left w:val="single" w:sz="4" w:space="0" w:color="926899" w:themeColor="accent2"/>
        <w:bottom w:val="single" w:sz="4" w:space="0" w:color="926899" w:themeColor="accent2"/>
        <w:right w:val="single" w:sz="4" w:space="0" w:color="926899" w:themeColor="accent2"/>
        <w:insideH w:val="single" w:sz="4" w:space="0" w:color="FFFFFF" w:themeColor="background1"/>
        <w:insideV w:val="single" w:sz="4" w:space="0" w:color="FFFFFF" w:themeColor="background1"/>
      </w:tblBorders>
    </w:tblPr>
    <w:tcPr>
      <w:shd w:val="clear" w:color="auto" w:fill="F4F0F5" w:themeFill="accent2" w:themeFillTint="19"/>
    </w:tcPr>
    <w:tblStylePr w:type="firstRow">
      <w:rPr>
        <w:b/>
        <w:bCs/>
      </w:rPr>
      <w:tblPr/>
      <w:tcPr>
        <w:tcBorders>
          <w:top w:val="nil"/>
          <w:left w:val="nil"/>
          <w:bottom w:val="single" w:sz="24" w:space="0" w:color="92689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3E5B" w:themeFill="accent2" w:themeFillShade="99"/>
      </w:tcPr>
    </w:tblStylePr>
    <w:tblStylePr w:type="firstCol">
      <w:rPr>
        <w:color w:val="FFFFFF" w:themeColor="background1"/>
      </w:rPr>
      <w:tblPr/>
      <w:tcPr>
        <w:tcBorders>
          <w:top w:val="nil"/>
          <w:left w:val="nil"/>
          <w:bottom w:val="nil"/>
          <w:right w:val="nil"/>
          <w:insideH w:val="single" w:sz="4" w:space="0" w:color="573E5B" w:themeColor="accent2" w:themeShade="99"/>
          <w:insideV w:val="nil"/>
        </w:tcBorders>
        <w:shd w:val="clear" w:color="auto" w:fill="573E5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3E5B" w:themeFill="accent2" w:themeFillShade="99"/>
      </w:tcPr>
    </w:tblStylePr>
    <w:tblStylePr w:type="band1Vert">
      <w:tblPr/>
      <w:tcPr>
        <w:shd w:val="clear" w:color="auto" w:fill="D3C2D6" w:themeFill="accent2" w:themeFillTint="66"/>
      </w:tcPr>
    </w:tblStylePr>
    <w:tblStylePr w:type="band1Horz">
      <w:tblPr/>
      <w:tcPr>
        <w:shd w:val="clear" w:color="auto" w:fill="C8B3C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B91810"/>
    <w:pPr>
      <w:spacing w:after="0" w:line="240" w:lineRule="auto"/>
    </w:pPr>
    <w:tblPr>
      <w:tblStyleRowBandSize w:val="1"/>
      <w:tblStyleColBandSize w:val="1"/>
      <w:tblBorders>
        <w:top w:val="single" w:sz="24" w:space="0" w:color="F8982D" w:themeColor="accent4"/>
        <w:left w:val="single" w:sz="4" w:space="0" w:color="7DC574" w:themeColor="accent3"/>
        <w:bottom w:val="single" w:sz="4" w:space="0" w:color="7DC574" w:themeColor="accent3"/>
        <w:right w:val="single" w:sz="4" w:space="0" w:color="7DC574" w:themeColor="accent3"/>
        <w:insideH w:val="single" w:sz="4" w:space="0" w:color="FFFFFF" w:themeColor="background1"/>
        <w:insideV w:val="single" w:sz="4" w:space="0" w:color="FFFFFF" w:themeColor="background1"/>
      </w:tblBorders>
    </w:tblPr>
    <w:tcPr>
      <w:shd w:val="clear" w:color="auto" w:fill="F2F9F1" w:themeFill="accent3" w:themeFillTint="19"/>
    </w:tcPr>
    <w:tblStylePr w:type="firstRow">
      <w:rPr>
        <w:b/>
        <w:bCs/>
      </w:rPr>
      <w:tblPr/>
      <w:tcPr>
        <w:tcBorders>
          <w:top w:val="nil"/>
          <w:left w:val="nil"/>
          <w:bottom w:val="single" w:sz="24" w:space="0" w:color="F8982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8437" w:themeFill="accent3" w:themeFillShade="99"/>
      </w:tcPr>
    </w:tblStylePr>
    <w:tblStylePr w:type="firstCol">
      <w:rPr>
        <w:color w:val="FFFFFF" w:themeColor="background1"/>
      </w:rPr>
      <w:tblPr/>
      <w:tcPr>
        <w:tcBorders>
          <w:top w:val="nil"/>
          <w:left w:val="nil"/>
          <w:bottom w:val="nil"/>
          <w:right w:val="nil"/>
          <w:insideH w:val="single" w:sz="4" w:space="0" w:color="3F8437" w:themeColor="accent3" w:themeShade="99"/>
          <w:insideV w:val="nil"/>
        </w:tcBorders>
        <w:shd w:val="clear" w:color="auto" w:fill="3F843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F8437" w:themeFill="accent3" w:themeFillShade="99"/>
      </w:tcPr>
    </w:tblStylePr>
    <w:tblStylePr w:type="band1Vert">
      <w:tblPr/>
      <w:tcPr>
        <w:shd w:val="clear" w:color="auto" w:fill="CAE7C7" w:themeFill="accent3" w:themeFillTint="66"/>
      </w:tcPr>
    </w:tblStylePr>
    <w:tblStylePr w:type="band1Horz">
      <w:tblPr/>
      <w:tcPr>
        <w:shd w:val="clear" w:color="auto" w:fill="BDE2B9" w:themeFill="accent3" w:themeFillTint="7F"/>
      </w:tcPr>
    </w:tblStylePr>
  </w:style>
  <w:style w:type="table" w:styleId="ColorfulShading-Accent4">
    <w:name w:val="Colorful Shading Accent 4"/>
    <w:basedOn w:val="TableNormal"/>
    <w:uiPriority w:val="71"/>
    <w:semiHidden/>
    <w:rsid w:val="00B91810"/>
    <w:pPr>
      <w:spacing w:after="0" w:line="240" w:lineRule="auto"/>
    </w:pPr>
    <w:tblPr>
      <w:tblStyleRowBandSize w:val="1"/>
      <w:tblStyleColBandSize w:val="1"/>
      <w:tblBorders>
        <w:top w:val="single" w:sz="24" w:space="0" w:color="7DC574" w:themeColor="accent3"/>
        <w:left w:val="single" w:sz="4" w:space="0" w:color="F8982D" w:themeColor="accent4"/>
        <w:bottom w:val="single" w:sz="4" w:space="0" w:color="F8982D" w:themeColor="accent4"/>
        <w:right w:val="single" w:sz="4" w:space="0" w:color="F8982D" w:themeColor="accent4"/>
        <w:insideH w:val="single" w:sz="4" w:space="0" w:color="FFFFFF" w:themeColor="background1"/>
        <w:insideV w:val="single" w:sz="4" w:space="0" w:color="FFFFFF" w:themeColor="background1"/>
      </w:tblBorders>
    </w:tblPr>
    <w:tcPr>
      <w:shd w:val="clear" w:color="auto" w:fill="FEF4EA" w:themeFill="accent4" w:themeFillTint="19"/>
    </w:tcPr>
    <w:tblStylePr w:type="firstRow">
      <w:rPr>
        <w:b/>
        <w:bCs/>
      </w:rPr>
      <w:tblPr/>
      <w:tcPr>
        <w:tcBorders>
          <w:top w:val="nil"/>
          <w:left w:val="nil"/>
          <w:bottom w:val="single" w:sz="24" w:space="0" w:color="7DC57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C05" w:themeFill="accent4" w:themeFillShade="99"/>
      </w:tcPr>
    </w:tblStylePr>
    <w:tblStylePr w:type="firstCol">
      <w:rPr>
        <w:color w:val="FFFFFF" w:themeColor="background1"/>
      </w:rPr>
      <w:tblPr/>
      <w:tcPr>
        <w:tcBorders>
          <w:top w:val="nil"/>
          <w:left w:val="nil"/>
          <w:bottom w:val="nil"/>
          <w:right w:val="nil"/>
          <w:insideH w:val="single" w:sz="4" w:space="0" w:color="A95C05" w:themeColor="accent4" w:themeShade="99"/>
          <w:insideV w:val="nil"/>
        </w:tcBorders>
        <w:shd w:val="clear" w:color="auto" w:fill="A95C0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95C05" w:themeFill="accent4" w:themeFillShade="99"/>
      </w:tcPr>
    </w:tblStylePr>
    <w:tblStylePr w:type="band1Vert">
      <w:tblPr/>
      <w:tcPr>
        <w:shd w:val="clear" w:color="auto" w:fill="FCD5AA" w:themeFill="accent4" w:themeFillTint="66"/>
      </w:tcPr>
    </w:tblStylePr>
    <w:tblStylePr w:type="band1Horz">
      <w:tblPr/>
      <w:tcPr>
        <w:shd w:val="clear" w:color="auto" w:fill="FBCB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B91810"/>
    <w:pPr>
      <w:spacing w:after="0" w:line="240" w:lineRule="auto"/>
    </w:pPr>
    <w:tblPr>
      <w:tblStyleRowBandSize w:val="1"/>
      <w:tblStyleColBandSize w:val="1"/>
      <w:tblBorders>
        <w:top w:val="single" w:sz="24" w:space="0" w:color="EFF6FA" w:themeColor="accent6"/>
        <w:left w:val="single" w:sz="4" w:space="0" w:color="369A98" w:themeColor="accent5"/>
        <w:bottom w:val="single" w:sz="4" w:space="0" w:color="369A98" w:themeColor="accent5"/>
        <w:right w:val="single" w:sz="4" w:space="0" w:color="369A98" w:themeColor="accent5"/>
        <w:insideH w:val="single" w:sz="4" w:space="0" w:color="FFFFFF" w:themeColor="background1"/>
        <w:insideV w:val="single" w:sz="4" w:space="0" w:color="FFFFFF" w:themeColor="background1"/>
      </w:tblBorders>
    </w:tblPr>
    <w:tcPr>
      <w:shd w:val="clear" w:color="auto" w:fill="E9F7F6" w:themeFill="accent5" w:themeFillTint="19"/>
    </w:tcPr>
    <w:tblStylePr w:type="firstRow">
      <w:rPr>
        <w:b/>
        <w:bCs/>
      </w:rPr>
      <w:tblPr/>
      <w:tcPr>
        <w:tcBorders>
          <w:top w:val="nil"/>
          <w:left w:val="nil"/>
          <w:bottom w:val="single" w:sz="24" w:space="0" w:color="EFF6F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5C5A" w:themeFill="accent5" w:themeFillShade="99"/>
      </w:tcPr>
    </w:tblStylePr>
    <w:tblStylePr w:type="firstCol">
      <w:rPr>
        <w:color w:val="FFFFFF" w:themeColor="background1"/>
      </w:rPr>
      <w:tblPr/>
      <w:tcPr>
        <w:tcBorders>
          <w:top w:val="nil"/>
          <w:left w:val="nil"/>
          <w:bottom w:val="nil"/>
          <w:right w:val="nil"/>
          <w:insideH w:val="single" w:sz="4" w:space="0" w:color="205C5A" w:themeColor="accent5" w:themeShade="99"/>
          <w:insideV w:val="nil"/>
        </w:tcBorders>
        <w:shd w:val="clear" w:color="auto" w:fill="205C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05C5A" w:themeFill="accent5" w:themeFillShade="99"/>
      </w:tcPr>
    </w:tblStylePr>
    <w:tblStylePr w:type="band1Vert">
      <w:tblPr/>
      <w:tcPr>
        <w:shd w:val="clear" w:color="auto" w:fill="A5DFDE" w:themeFill="accent5" w:themeFillTint="66"/>
      </w:tcPr>
    </w:tblStylePr>
    <w:tblStylePr w:type="band1Horz">
      <w:tblPr/>
      <w:tcPr>
        <w:shd w:val="clear" w:color="auto" w:fill="8FD8D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B91810"/>
    <w:pPr>
      <w:spacing w:after="0" w:line="240" w:lineRule="auto"/>
    </w:pPr>
    <w:tblPr>
      <w:tblStyleRowBandSize w:val="1"/>
      <w:tblStyleColBandSize w:val="1"/>
      <w:tblBorders>
        <w:top w:val="single" w:sz="24" w:space="0" w:color="369A98" w:themeColor="accent5"/>
        <w:left w:val="single" w:sz="4" w:space="0" w:color="EFF6FA" w:themeColor="accent6"/>
        <w:bottom w:val="single" w:sz="4" w:space="0" w:color="EFF6FA" w:themeColor="accent6"/>
        <w:right w:val="single" w:sz="4" w:space="0" w:color="EFF6FA" w:themeColor="accent6"/>
        <w:insideH w:val="single" w:sz="4" w:space="0" w:color="FFFFFF" w:themeColor="background1"/>
        <w:insideV w:val="single" w:sz="4" w:space="0" w:color="FFFFFF" w:themeColor="background1"/>
      </w:tblBorders>
    </w:tblPr>
    <w:tcPr>
      <w:shd w:val="clear" w:color="auto" w:fill="FDFEFE" w:themeFill="accent6" w:themeFillTint="19"/>
    </w:tcPr>
    <w:tblStylePr w:type="firstRow">
      <w:rPr>
        <w:b/>
        <w:bCs/>
      </w:rPr>
      <w:tblPr/>
      <w:tcPr>
        <w:tcBorders>
          <w:top w:val="nil"/>
          <w:left w:val="nil"/>
          <w:bottom w:val="single" w:sz="24" w:space="0" w:color="369A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A2CB" w:themeFill="accent6" w:themeFillShade="99"/>
      </w:tcPr>
    </w:tblStylePr>
    <w:tblStylePr w:type="firstCol">
      <w:rPr>
        <w:color w:val="FFFFFF" w:themeColor="background1"/>
      </w:rPr>
      <w:tblPr/>
      <w:tcPr>
        <w:tcBorders>
          <w:top w:val="nil"/>
          <w:left w:val="nil"/>
          <w:bottom w:val="nil"/>
          <w:right w:val="nil"/>
          <w:insideH w:val="single" w:sz="4" w:space="0" w:color="59A2CB" w:themeColor="accent6" w:themeShade="99"/>
          <w:insideV w:val="nil"/>
        </w:tcBorders>
        <w:shd w:val="clear" w:color="auto" w:fill="59A2C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9A2CB" w:themeFill="accent6" w:themeFillShade="99"/>
      </w:tcPr>
    </w:tblStylePr>
    <w:tblStylePr w:type="band1Vert">
      <w:tblPr/>
      <w:tcPr>
        <w:shd w:val="clear" w:color="auto" w:fill="F8FBFD" w:themeFill="accent6" w:themeFillTint="66"/>
      </w:tcPr>
    </w:tblStylePr>
    <w:tblStylePr w:type="band1Horz">
      <w:tblPr/>
      <w:tcPr>
        <w:shd w:val="clear" w:color="auto" w:fill="F6FA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91810"/>
    <w:rPr>
      <w:sz w:val="16"/>
      <w:szCs w:val="16"/>
      <w:lang w:val="en-GB"/>
    </w:rPr>
  </w:style>
  <w:style w:type="paragraph" w:styleId="CommentText">
    <w:name w:val="annotation text"/>
    <w:basedOn w:val="Normal"/>
    <w:link w:val="CommentTextChar"/>
    <w:uiPriority w:val="99"/>
    <w:semiHidden/>
    <w:unhideWhenUsed/>
    <w:rsid w:val="00B91810"/>
    <w:pPr>
      <w:spacing w:line="240" w:lineRule="auto"/>
    </w:pPr>
    <w:rPr>
      <w:sz w:val="20"/>
      <w:szCs w:val="20"/>
    </w:rPr>
  </w:style>
  <w:style w:type="character" w:customStyle="1" w:styleId="CommentTextChar">
    <w:name w:val="Comment Text Char"/>
    <w:basedOn w:val="DefaultParagraphFont"/>
    <w:link w:val="CommentText"/>
    <w:uiPriority w:val="99"/>
    <w:semiHidden/>
    <w:rsid w:val="00B91810"/>
    <w:rPr>
      <w:sz w:val="20"/>
      <w:szCs w:val="20"/>
      <w:lang w:val="en-GB"/>
    </w:rPr>
  </w:style>
  <w:style w:type="paragraph" w:styleId="CommentSubject">
    <w:name w:val="annotation subject"/>
    <w:basedOn w:val="CommentText"/>
    <w:next w:val="CommentText"/>
    <w:link w:val="CommentSubjectChar"/>
    <w:uiPriority w:val="99"/>
    <w:semiHidden/>
    <w:unhideWhenUsed/>
    <w:rsid w:val="00B91810"/>
    <w:rPr>
      <w:b/>
      <w:bCs/>
    </w:rPr>
  </w:style>
  <w:style w:type="character" w:customStyle="1" w:styleId="CommentSubjectChar">
    <w:name w:val="Comment Subject Char"/>
    <w:basedOn w:val="CommentTextChar"/>
    <w:link w:val="CommentSubject"/>
    <w:uiPriority w:val="99"/>
    <w:semiHidden/>
    <w:rsid w:val="00B91810"/>
    <w:rPr>
      <w:b/>
      <w:bCs/>
      <w:sz w:val="20"/>
      <w:szCs w:val="20"/>
      <w:lang w:val="en-GB"/>
    </w:rPr>
  </w:style>
  <w:style w:type="table" w:styleId="DarkList">
    <w:name w:val="Dark List"/>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86B3C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5D7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C8DB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C8DB0" w:themeFill="accent1" w:themeFillShade="BF"/>
      </w:tcPr>
    </w:tblStylePr>
    <w:tblStylePr w:type="band1Vert">
      <w:tblPr/>
      <w:tcPr>
        <w:tcBorders>
          <w:top w:val="nil"/>
          <w:left w:val="nil"/>
          <w:bottom w:val="nil"/>
          <w:right w:val="nil"/>
          <w:insideH w:val="nil"/>
          <w:insideV w:val="nil"/>
        </w:tcBorders>
        <w:shd w:val="clear" w:color="auto" w:fill="4C8DB0" w:themeFill="accent1" w:themeFillShade="BF"/>
      </w:tcPr>
    </w:tblStylePr>
    <w:tblStylePr w:type="band1Horz">
      <w:tblPr/>
      <w:tcPr>
        <w:tcBorders>
          <w:top w:val="nil"/>
          <w:left w:val="nil"/>
          <w:bottom w:val="nil"/>
          <w:right w:val="nil"/>
          <w:insideH w:val="nil"/>
          <w:insideV w:val="nil"/>
        </w:tcBorders>
        <w:shd w:val="clear" w:color="auto" w:fill="4C8DB0" w:themeFill="accent1" w:themeFillShade="BF"/>
      </w:tcPr>
    </w:tblStylePr>
  </w:style>
  <w:style w:type="table" w:styleId="DarkList-Accent2">
    <w:name w:val="Dark List Accent 2"/>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92689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334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4D7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4D72" w:themeFill="accent2" w:themeFillShade="BF"/>
      </w:tcPr>
    </w:tblStylePr>
    <w:tblStylePr w:type="band1Vert">
      <w:tblPr/>
      <w:tcPr>
        <w:tcBorders>
          <w:top w:val="nil"/>
          <w:left w:val="nil"/>
          <w:bottom w:val="nil"/>
          <w:right w:val="nil"/>
          <w:insideH w:val="nil"/>
          <w:insideV w:val="nil"/>
        </w:tcBorders>
        <w:shd w:val="clear" w:color="auto" w:fill="6D4D72" w:themeFill="accent2" w:themeFillShade="BF"/>
      </w:tcPr>
    </w:tblStylePr>
    <w:tblStylePr w:type="band1Horz">
      <w:tblPr/>
      <w:tcPr>
        <w:tcBorders>
          <w:top w:val="nil"/>
          <w:left w:val="nil"/>
          <w:bottom w:val="nil"/>
          <w:right w:val="nil"/>
          <w:insideH w:val="nil"/>
          <w:insideV w:val="nil"/>
        </w:tcBorders>
        <w:shd w:val="clear" w:color="auto" w:fill="6D4D72" w:themeFill="accent2" w:themeFillShade="BF"/>
      </w:tcPr>
    </w:tblStylePr>
  </w:style>
  <w:style w:type="table" w:styleId="DarkList-Accent3">
    <w:name w:val="Dark List Accent 3"/>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7DC57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6D2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FA54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FA545" w:themeFill="accent3" w:themeFillShade="BF"/>
      </w:tcPr>
    </w:tblStylePr>
    <w:tblStylePr w:type="band1Vert">
      <w:tblPr/>
      <w:tcPr>
        <w:tcBorders>
          <w:top w:val="nil"/>
          <w:left w:val="nil"/>
          <w:bottom w:val="nil"/>
          <w:right w:val="nil"/>
          <w:insideH w:val="nil"/>
          <w:insideV w:val="nil"/>
        </w:tcBorders>
        <w:shd w:val="clear" w:color="auto" w:fill="4FA545" w:themeFill="accent3" w:themeFillShade="BF"/>
      </w:tcPr>
    </w:tblStylePr>
    <w:tblStylePr w:type="band1Horz">
      <w:tblPr/>
      <w:tcPr>
        <w:tcBorders>
          <w:top w:val="nil"/>
          <w:left w:val="nil"/>
          <w:bottom w:val="nil"/>
          <w:right w:val="nil"/>
          <w:insideH w:val="nil"/>
          <w:insideV w:val="nil"/>
        </w:tcBorders>
        <w:shd w:val="clear" w:color="auto" w:fill="4FA545" w:themeFill="accent3" w:themeFillShade="BF"/>
      </w:tcPr>
    </w:tblStylePr>
  </w:style>
  <w:style w:type="table" w:styleId="DarkList-Accent4">
    <w:name w:val="Dark List Accent 4"/>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F8982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4C0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4720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47207" w:themeFill="accent4" w:themeFillShade="BF"/>
      </w:tcPr>
    </w:tblStylePr>
    <w:tblStylePr w:type="band1Vert">
      <w:tblPr/>
      <w:tcPr>
        <w:tcBorders>
          <w:top w:val="nil"/>
          <w:left w:val="nil"/>
          <w:bottom w:val="nil"/>
          <w:right w:val="nil"/>
          <w:insideH w:val="nil"/>
          <w:insideV w:val="nil"/>
        </w:tcBorders>
        <w:shd w:val="clear" w:color="auto" w:fill="D47207" w:themeFill="accent4" w:themeFillShade="BF"/>
      </w:tcPr>
    </w:tblStylePr>
    <w:tblStylePr w:type="band1Horz">
      <w:tblPr/>
      <w:tcPr>
        <w:tcBorders>
          <w:top w:val="nil"/>
          <w:left w:val="nil"/>
          <w:bottom w:val="nil"/>
          <w:right w:val="nil"/>
          <w:insideH w:val="nil"/>
          <w:insideV w:val="nil"/>
        </w:tcBorders>
        <w:shd w:val="clear" w:color="auto" w:fill="D47207" w:themeFill="accent4" w:themeFillShade="BF"/>
      </w:tcPr>
    </w:tblStylePr>
  </w:style>
  <w:style w:type="table" w:styleId="DarkList-Accent5">
    <w:name w:val="Dark List Accent 5"/>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369A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4C4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8737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87371" w:themeFill="accent5" w:themeFillShade="BF"/>
      </w:tcPr>
    </w:tblStylePr>
    <w:tblStylePr w:type="band1Vert">
      <w:tblPr/>
      <w:tcPr>
        <w:tcBorders>
          <w:top w:val="nil"/>
          <w:left w:val="nil"/>
          <w:bottom w:val="nil"/>
          <w:right w:val="nil"/>
          <w:insideH w:val="nil"/>
          <w:insideV w:val="nil"/>
        </w:tcBorders>
        <w:shd w:val="clear" w:color="auto" w:fill="287371" w:themeFill="accent5" w:themeFillShade="BF"/>
      </w:tcPr>
    </w:tblStylePr>
    <w:tblStylePr w:type="band1Horz">
      <w:tblPr/>
      <w:tcPr>
        <w:tcBorders>
          <w:top w:val="nil"/>
          <w:left w:val="nil"/>
          <w:bottom w:val="nil"/>
          <w:right w:val="nil"/>
          <w:insideH w:val="nil"/>
          <w:insideV w:val="nil"/>
        </w:tcBorders>
        <w:shd w:val="clear" w:color="auto" w:fill="287371" w:themeFill="accent5" w:themeFillShade="BF"/>
      </w:tcPr>
    </w:tblStylePr>
  </w:style>
  <w:style w:type="table" w:styleId="DarkList-Accent6">
    <w:name w:val="Dark List Accent 6"/>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EFF6F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8AB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1C1D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1C1DC" w:themeFill="accent6" w:themeFillShade="BF"/>
      </w:tcPr>
    </w:tblStylePr>
    <w:tblStylePr w:type="band1Vert">
      <w:tblPr/>
      <w:tcPr>
        <w:tcBorders>
          <w:top w:val="nil"/>
          <w:left w:val="nil"/>
          <w:bottom w:val="nil"/>
          <w:right w:val="nil"/>
          <w:insideH w:val="nil"/>
          <w:insideV w:val="nil"/>
        </w:tcBorders>
        <w:shd w:val="clear" w:color="auto" w:fill="91C1DC" w:themeFill="accent6" w:themeFillShade="BF"/>
      </w:tcPr>
    </w:tblStylePr>
    <w:tblStylePr w:type="band1Horz">
      <w:tblPr/>
      <w:tcPr>
        <w:tcBorders>
          <w:top w:val="nil"/>
          <w:left w:val="nil"/>
          <w:bottom w:val="nil"/>
          <w:right w:val="nil"/>
          <w:insideH w:val="nil"/>
          <w:insideV w:val="nil"/>
        </w:tcBorders>
        <w:shd w:val="clear" w:color="auto" w:fill="91C1DC" w:themeFill="accent6" w:themeFillShade="BF"/>
      </w:tcPr>
    </w:tblStylePr>
  </w:style>
  <w:style w:type="paragraph" w:styleId="Date">
    <w:name w:val="Date"/>
    <w:basedOn w:val="Normal"/>
    <w:next w:val="Normal"/>
    <w:link w:val="DateChar"/>
    <w:uiPriority w:val="99"/>
    <w:semiHidden/>
    <w:unhideWhenUsed/>
    <w:rsid w:val="00B91810"/>
  </w:style>
  <w:style w:type="character" w:customStyle="1" w:styleId="DateChar">
    <w:name w:val="Date Char"/>
    <w:basedOn w:val="DefaultParagraphFont"/>
    <w:link w:val="Date"/>
    <w:uiPriority w:val="99"/>
    <w:semiHidden/>
    <w:rsid w:val="00B91810"/>
    <w:rPr>
      <w:lang w:val="en-GB"/>
    </w:rPr>
  </w:style>
  <w:style w:type="paragraph" w:styleId="DocumentMap">
    <w:name w:val="Document Map"/>
    <w:basedOn w:val="Normal"/>
    <w:link w:val="DocumentMapChar"/>
    <w:uiPriority w:val="99"/>
    <w:semiHidden/>
    <w:unhideWhenUsed/>
    <w:rsid w:val="00B9181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1810"/>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B91810"/>
    <w:pPr>
      <w:spacing w:after="0" w:line="240" w:lineRule="auto"/>
    </w:pPr>
  </w:style>
  <w:style w:type="character" w:customStyle="1" w:styleId="E-mailSignatureChar">
    <w:name w:val="E-mail Signature Char"/>
    <w:basedOn w:val="DefaultParagraphFont"/>
    <w:link w:val="E-mailSignature"/>
    <w:uiPriority w:val="99"/>
    <w:semiHidden/>
    <w:rsid w:val="00B91810"/>
    <w:rPr>
      <w:lang w:val="en-GB"/>
    </w:rPr>
  </w:style>
  <w:style w:type="character" w:styleId="Emphasis">
    <w:name w:val="Emphasis"/>
    <w:basedOn w:val="DefaultParagraphFont"/>
    <w:uiPriority w:val="20"/>
    <w:semiHidden/>
    <w:rsid w:val="00B91810"/>
    <w:rPr>
      <w:i/>
      <w:iCs/>
      <w:lang w:val="en-GB"/>
    </w:rPr>
  </w:style>
  <w:style w:type="character" w:styleId="EndnoteReference">
    <w:name w:val="endnote reference"/>
    <w:basedOn w:val="DefaultParagraphFont"/>
    <w:uiPriority w:val="99"/>
    <w:semiHidden/>
    <w:unhideWhenUsed/>
    <w:rsid w:val="00B91810"/>
    <w:rPr>
      <w:vertAlign w:val="superscript"/>
      <w:lang w:val="en-GB"/>
    </w:rPr>
  </w:style>
  <w:style w:type="paragraph" w:styleId="EndnoteText">
    <w:name w:val="endnote text"/>
    <w:basedOn w:val="Normal"/>
    <w:link w:val="EndnoteTextChar"/>
    <w:uiPriority w:val="99"/>
    <w:unhideWhenUsed/>
    <w:rsid w:val="00B91810"/>
    <w:pPr>
      <w:spacing w:after="0" w:line="240" w:lineRule="auto"/>
    </w:pPr>
    <w:rPr>
      <w:sz w:val="20"/>
      <w:szCs w:val="20"/>
    </w:rPr>
  </w:style>
  <w:style w:type="character" w:customStyle="1" w:styleId="EndnoteTextChar">
    <w:name w:val="Endnote Text Char"/>
    <w:basedOn w:val="DefaultParagraphFont"/>
    <w:link w:val="EndnoteText"/>
    <w:uiPriority w:val="99"/>
    <w:rsid w:val="00B91810"/>
    <w:rPr>
      <w:sz w:val="20"/>
      <w:szCs w:val="20"/>
      <w:lang w:val="en-GB"/>
    </w:rPr>
  </w:style>
  <w:style w:type="paragraph" w:styleId="EnvelopeAddress">
    <w:name w:val="envelope address"/>
    <w:basedOn w:val="Normal"/>
    <w:uiPriority w:val="99"/>
    <w:semiHidden/>
    <w:unhideWhenUsed/>
    <w:rsid w:val="00B9181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181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2A3725"/>
    <w:rPr>
      <w:b/>
      <w:color w:val="404040" w:themeColor="text1" w:themeTint="BF"/>
      <w:u w:val="single"/>
      <w:lang w:val="en-GB"/>
    </w:rPr>
  </w:style>
  <w:style w:type="character" w:styleId="FootnoteReference">
    <w:name w:val="footnote reference"/>
    <w:basedOn w:val="DefaultParagraphFont"/>
    <w:uiPriority w:val="99"/>
    <w:semiHidden/>
    <w:unhideWhenUsed/>
    <w:rsid w:val="00B91810"/>
    <w:rPr>
      <w:vertAlign w:val="superscript"/>
      <w:lang w:val="en-GB"/>
    </w:rPr>
  </w:style>
  <w:style w:type="paragraph" w:styleId="FootnoteText">
    <w:name w:val="footnote text"/>
    <w:basedOn w:val="Normal"/>
    <w:link w:val="FootnoteTextChar"/>
    <w:uiPriority w:val="99"/>
    <w:semiHidden/>
    <w:unhideWhenUsed/>
    <w:rsid w:val="00B918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1810"/>
    <w:rPr>
      <w:sz w:val="20"/>
      <w:szCs w:val="20"/>
      <w:lang w:val="en-GB"/>
    </w:rPr>
  </w:style>
  <w:style w:type="character" w:styleId="HTMLAcronym">
    <w:name w:val="HTML Acronym"/>
    <w:basedOn w:val="DefaultParagraphFont"/>
    <w:uiPriority w:val="99"/>
    <w:semiHidden/>
    <w:unhideWhenUsed/>
    <w:rsid w:val="00B91810"/>
    <w:rPr>
      <w:lang w:val="en-GB"/>
    </w:rPr>
  </w:style>
  <w:style w:type="paragraph" w:styleId="HTMLAddress">
    <w:name w:val="HTML Address"/>
    <w:basedOn w:val="Normal"/>
    <w:link w:val="HTMLAddressChar"/>
    <w:uiPriority w:val="99"/>
    <w:semiHidden/>
    <w:unhideWhenUsed/>
    <w:rsid w:val="00B91810"/>
    <w:pPr>
      <w:spacing w:after="0" w:line="240" w:lineRule="auto"/>
    </w:pPr>
    <w:rPr>
      <w:i/>
      <w:iCs/>
    </w:rPr>
  </w:style>
  <w:style w:type="character" w:customStyle="1" w:styleId="HTMLAddressChar">
    <w:name w:val="HTML Address Char"/>
    <w:basedOn w:val="DefaultParagraphFont"/>
    <w:link w:val="HTMLAddress"/>
    <w:uiPriority w:val="99"/>
    <w:semiHidden/>
    <w:rsid w:val="00B91810"/>
    <w:rPr>
      <w:i/>
      <w:iCs/>
      <w:lang w:val="en-GB"/>
    </w:rPr>
  </w:style>
  <w:style w:type="character" w:styleId="HTMLCite">
    <w:name w:val="HTML Cite"/>
    <w:basedOn w:val="DefaultParagraphFont"/>
    <w:uiPriority w:val="99"/>
    <w:semiHidden/>
    <w:unhideWhenUsed/>
    <w:rsid w:val="00B91810"/>
    <w:rPr>
      <w:i/>
      <w:iCs/>
      <w:lang w:val="en-GB"/>
    </w:rPr>
  </w:style>
  <w:style w:type="character" w:styleId="HTMLCode">
    <w:name w:val="HTML Code"/>
    <w:basedOn w:val="DefaultParagraphFont"/>
    <w:uiPriority w:val="99"/>
    <w:semiHidden/>
    <w:unhideWhenUsed/>
    <w:rsid w:val="00B91810"/>
    <w:rPr>
      <w:rFonts w:ascii="Consolas" w:hAnsi="Consolas" w:cs="Consolas"/>
      <w:sz w:val="20"/>
      <w:szCs w:val="20"/>
      <w:lang w:val="en-GB"/>
    </w:rPr>
  </w:style>
  <w:style w:type="character" w:styleId="HTMLDefinition">
    <w:name w:val="HTML Definition"/>
    <w:basedOn w:val="DefaultParagraphFont"/>
    <w:uiPriority w:val="99"/>
    <w:semiHidden/>
    <w:unhideWhenUsed/>
    <w:rsid w:val="00B91810"/>
    <w:rPr>
      <w:i/>
      <w:iCs/>
      <w:lang w:val="en-GB"/>
    </w:rPr>
  </w:style>
  <w:style w:type="character" w:styleId="HTMLKeyboard">
    <w:name w:val="HTML Keyboard"/>
    <w:basedOn w:val="DefaultParagraphFont"/>
    <w:uiPriority w:val="99"/>
    <w:semiHidden/>
    <w:unhideWhenUsed/>
    <w:rsid w:val="00B91810"/>
    <w:rPr>
      <w:rFonts w:ascii="Consolas" w:hAnsi="Consolas" w:cs="Consolas"/>
      <w:sz w:val="20"/>
      <w:szCs w:val="20"/>
      <w:lang w:val="en-GB"/>
    </w:rPr>
  </w:style>
  <w:style w:type="paragraph" w:styleId="HTMLPreformatted">
    <w:name w:val="HTML Preformatted"/>
    <w:basedOn w:val="Normal"/>
    <w:link w:val="HTMLPreformattedChar"/>
    <w:uiPriority w:val="99"/>
    <w:semiHidden/>
    <w:unhideWhenUsed/>
    <w:rsid w:val="00B9181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91810"/>
    <w:rPr>
      <w:rFonts w:ascii="Consolas" w:hAnsi="Consolas" w:cs="Consolas"/>
      <w:sz w:val="20"/>
      <w:szCs w:val="20"/>
      <w:lang w:val="en-GB"/>
    </w:rPr>
  </w:style>
  <w:style w:type="character" w:styleId="HTMLSample">
    <w:name w:val="HTML Sample"/>
    <w:basedOn w:val="DefaultParagraphFont"/>
    <w:uiPriority w:val="99"/>
    <w:semiHidden/>
    <w:unhideWhenUsed/>
    <w:rsid w:val="00B91810"/>
    <w:rPr>
      <w:rFonts w:ascii="Consolas" w:hAnsi="Consolas" w:cs="Consolas"/>
      <w:sz w:val="24"/>
      <w:szCs w:val="24"/>
      <w:lang w:val="en-GB"/>
    </w:rPr>
  </w:style>
  <w:style w:type="character" w:styleId="HTMLTypewriter">
    <w:name w:val="HTML Typewriter"/>
    <w:basedOn w:val="DefaultParagraphFont"/>
    <w:uiPriority w:val="99"/>
    <w:semiHidden/>
    <w:unhideWhenUsed/>
    <w:rsid w:val="00B91810"/>
    <w:rPr>
      <w:rFonts w:ascii="Consolas" w:hAnsi="Consolas" w:cs="Consolas"/>
      <w:sz w:val="20"/>
      <w:szCs w:val="20"/>
      <w:lang w:val="en-GB"/>
    </w:rPr>
  </w:style>
  <w:style w:type="character" w:styleId="HTMLVariable">
    <w:name w:val="HTML Variable"/>
    <w:basedOn w:val="DefaultParagraphFont"/>
    <w:uiPriority w:val="99"/>
    <w:semiHidden/>
    <w:unhideWhenUsed/>
    <w:rsid w:val="00B91810"/>
    <w:rPr>
      <w:i/>
      <w:iCs/>
      <w:lang w:val="en-GB"/>
    </w:rPr>
  </w:style>
  <w:style w:type="paragraph" w:styleId="Index1">
    <w:name w:val="index 1"/>
    <w:basedOn w:val="Normal"/>
    <w:next w:val="Normal"/>
    <w:autoRedefine/>
    <w:uiPriority w:val="99"/>
    <w:semiHidden/>
    <w:unhideWhenUsed/>
    <w:rsid w:val="00B91810"/>
    <w:pPr>
      <w:spacing w:after="0" w:line="240" w:lineRule="auto"/>
      <w:ind w:left="220" w:hanging="220"/>
    </w:pPr>
  </w:style>
  <w:style w:type="paragraph" w:styleId="Index2">
    <w:name w:val="index 2"/>
    <w:basedOn w:val="Normal"/>
    <w:next w:val="Normal"/>
    <w:autoRedefine/>
    <w:uiPriority w:val="99"/>
    <w:semiHidden/>
    <w:unhideWhenUsed/>
    <w:rsid w:val="00B91810"/>
    <w:pPr>
      <w:spacing w:after="0" w:line="240" w:lineRule="auto"/>
      <w:ind w:left="440" w:hanging="220"/>
    </w:pPr>
  </w:style>
  <w:style w:type="paragraph" w:styleId="Index3">
    <w:name w:val="index 3"/>
    <w:basedOn w:val="Normal"/>
    <w:next w:val="Normal"/>
    <w:autoRedefine/>
    <w:uiPriority w:val="99"/>
    <w:semiHidden/>
    <w:unhideWhenUsed/>
    <w:rsid w:val="00B91810"/>
    <w:pPr>
      <w:spacing w:after="0" w:line="240" w:lineRule="auto"/>
      <w:ind w:left="660" w:hanging="220"/>
    </w:pPr>
  </w:style>
  <w:style w:type="paragraph" w:styleId="Index4">
    <w:name w:val="index 4"/>
    <w:basedOn w:val="Normal"/>
    <w:next w:val="Normal"/>
    <w:autoRedefine/>
    <w:uiPriority w:val="99"/>
    <w:semiHidden/>
    <w:unhideWhenUsed/>
    <w:rsid w:val="00B91810"/>
    <w:pPr>
      <w:spacing w:after="0" w:line="240" w:lineRule="auto"/>
      <w:ind w:left="880" w:hanging="220"/>
    </w:pPr>
  </w:style>
  <w:style w:type="paragraph" w:styleId="Index5">
    <w:name w:val="index 5"/>
    <w:basedOn w:val="Normal"/>
    <w:next w:val="Normal"/>
    <w:autoRedefine/>
    <w:uiPriority w:val="99"/>
    <w:semiHidden/>
    <w:unhideWhenUsed/>
    <w:rsid w:val="00B91810"/>
    <w:pPr>
      <w:spacing w:after="0" w:line="240" w:lineRule="auto"/>
      <w:ind w:left="1100" w:hanging="220"/>
    </w:pPr>
  </w:style>
  <w:style w:type="paragraph" w:styleId="Index6">
    <w:name w:val="index 6"/>
    <w:basedOn w:val="Normal"/>
    <w:next w:val="Normal"/>
    <w:autoRedefine/>
    <w:uiPriority w:val="99"/>
    <w:semiHidden/>
    <w:unhideWhenUsed/>
    <w:rsid w:val="00B91810"/>
    <w:pPr>
      <w:spacing w:after="0" w:line="240" w:lineRule="auto"/>
      <w:ind w:left="1320" w:hanging="220"/>
    </w:pPr>
  </w:style>
  <w:style w:type="paragraph" w:styleId="Index7">
    <w:name w:val="index 7"/>
    <w:basedOn w:val="Normal"/>
    <w:next w:val="Normal"/>
    <w:autoRedefine/>
    <w:uiPriority w:val="99"/>
    <w:semiHidden/>
    <w:unhideWhenUsed/>
    <w:rsid w:val="00B91810"/>
    <w:pPr>
      <w:spacing w:after="0" w:line="240" w:lineRule="auto"/>
      <w:ind w:left="1540" w:hanging="220"/>
    </w:pPr>
  </w:style>
  <w:style w:type="paragraph" w:styleId="Index8">
    <w:name w:val="index 8"/>
    <w:basedOn w:val="Normal"/>
    <w:next w:val="Normal"/>
    <w:autoRedefine/>
    <w:uiPriority w:val="99"/>
    <w:semiHidden/>
    <w:unhideWhenUsed/>
    <w:rsid w:val="00B91810"/>
    <w:pPr>
      <w:spacing w:after="0" w:line="240" w:lineRule="auto"/>
      <w:ind w:left="1760" w:hanging="220"/>
    </w:pPr>
  </w:style>
  <w:style w:type="paragraph" w:styleId="Index9">
    <w:name w:val="index 9"/>
    <w:basedOn w:val="Normal"/>
    <w:next w:val="Normal"/>
    <w:autoRedefine/>
    <w:uiPriority w:val="99"/>
    <w:semiHidden/>
    <w:unhideWhenUsed/>
    <w:rsid w:val="00B91810"/>
    <w:pPr>
      <w:spacing w:after="0" w:line="240" w:lineRule="auto"/>
      <w:ind w:left="1980" w:hanging="220"/>
    </w:pPr>
  </w:style>
  <w:style w:type="paragraph" w:styleId="IndexHeading">
    <w:name w:val="index heading"/>
    <w:basedOn w:val="Normal"/>
    <w:next w:val="Index1"/>
    <w:uiPriority w:val="99"/>
    <w:semiHidden/>
    <w:unhideWhenUsed/>
    <w:rsid w:val="00B91810"/>
    <w:rPr>
      <w:rFonts w:asciiTheme="majorHAnsi" w:eastAsiaTheme="majorEastAsia" w:hAnsiTheme="majorHAnsi" w:cstheme="majorBidi"/>
      <w:b/>
      <w:bCs/>
    </w:rPr>
  </w:style>
  <w:style w:type="character" w:styleId="IntenseEmphasis">
    <w:name w:val="Intense Emphasis"/>
    <w:basedOn w:val="DefaultParagraphFont"/>
    <w:uiPriority w:val="21"/>
    <w:semiHidden/>
    <w:rsid w:val="00B91810"/>
    <w:rPr>
      <w:b/>
      <w:bCs/>
      <w:i/>
      <w:iCs/>
      <w:color w:val="86B3CB" w:themeColor="accent1"/>
      <w:lang w:val="en-GB"/>
    </w:rPr>
  </w:style>
  <w:style w:type="paragraph" w:styleId="IntenseQuote">
    <w:name w:val="Intense Quote"/>
    <w:basedOn w:val="Normal"/>
    <w:next w:val="Normal"/>
    <w:link w:val="IntenseQuoteChar"/>
    <w:uiPriority w:val="30"/>
    <w:semiHidden/>
    <w:rsid w:val="00B91810"/>
    <w:pPr>
      <w:pBdr>
        <w:bottom w:val="single" w:sz="4" w:space="4" w:color="86B3CB" w:themeColor="accent1"/>
      </w:pBdr>
      <w:spacing w:before="200" w:after="280"/>
      <w:ind w:left="936" w:right="936"/>
    </w:pPr>
    <w:rPr>
      <w:b/>
      <w:bCs/>
      <w:i/>
      <w:iCs/>
      <w:color w:val="86B3CB" w:themeColor="accent1"/>
    </w:rPr>
  </w:style>
  <w:style w:type="character" w:customStyle="1" w:styleId="IntenseQuoteChar">
    <w:name w:val="Intense Quote Char"/>
    <w:basedOn w:val="DefaultParagraphFont"/>
    <w:link w:val="IntenseQuote"/>
    <w:uiPriority w:val="30"/>
    <w:rsid w:val="00B91810"/>
    <w:rPr>
      <w:b/>
      <w:bCs/>
      <w:i/>
      <w:iCs/>
      <w:color w:val="86B3CB" w:themeColor="accent1"/>
      <w:lang w:val="en-GB"/>
    </w:rPr>
  </w:style>
  <w:style w:type="character" w:styleId="IntenseReference">
    <w:name w:val="Intense Reference"/>
    <w:basedOn w:val="DefaultParagraphFont"/>
    <w:uiPriority w:val="32"/>
    <w:semiHidden/>
    <w:rsid w:val="00B91810"/>
    <w:rPr>
      <w:b/>
      <w:bCs/>
      <w:smallCaps/>
      <w:color w:val="926899" w:themeColor="accent2"/>
      <w:spacing w:val="5"/>
      <w:u w:val="single"/>
      <w:lang w:val="en-GB"/>
    </w:rPr>
  </w:style>
  <w:style w:type="table" w:styleId="LightGrid">
    <w:name w:val="Light Grid"/>
    <w:basedOn w:val="TableNormal"/>
    <w:uiPriority w:val="62"/>
    <w:semiHidden/>
    <w:rsid w:val="00B918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B91810"/>
    <w:pPr>
      <w:spacing w:after="0" w:line="240" w:lineRule="auto"/>
    </w:pPr>
    <w:tblPr>
      <w:tblStyleRowBandSize w:val="1"/>
      <w:tblStyleColBandSize w:val="1"/>
      <w:tblBorders>
        <w:top w:val="single" w:sz="8" w:space="0" w:color="86B3CB" w:themeColor="accent1"/>
        <w:left w:val="single" w:sz="8" w:space="0" w:color="86B3CB" w:themeColor="accent1"/>
        <w:bottom w:val="single" w:sz="8" w:space="0" w:color="86B3CB" w:themeColor="accent1"/>
        <w:right w:val="single" w:sz="8" w:space="0" w:color="86B3CB" w:themeColor="accent1"/>
        <w:insideH w:val="single" w:sz="8" w:space="0" w:color="86B3CB" w:themeColor="accent1"/>
        <w:insideV w:val="single" w:sz="8" w:space="0" w:color="86B3C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3CB" w:themeColor="accent1"/>
          <w:left w:val="single" w:sz="8" w:space="0" w:color="86B3CB" w:themeColor="accent1"/>
          <w:bottom w:val="single" w:sz="18" w:space="0" w:color="86B3CB" w:themeColor="accent1"/>
          <w:right w:val="single" w:sz="8" w:space="0" w:color="86B3CB" w:themeColor="accent1"/>
          <w:insideH w:val="nil"/>
          <w:insideV w:val="single" w:sz="8" w:space="0" w:color="86B3C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3CB" w:themeColor="accent1"/>
          <w:left w:val="single" w:sz="8" w:space="0" w:color="86B3CB" w:themeColor="accent1"/>
          <w:bottom w:val="single" w:sz="8" w:space="0" w:color="86B3CB" w:themeColor="accent1"/>
          <w:right w:val="single" w:sz="8" w:space="0" w:color="86B3CB" w:themeColor="accent1"/>
          <w:insideH w:val="nil"/>
          <w:insideV w:val="single" w:sz="8" w:space="0" w:color="86B3C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3CB" w:themeColor="accent1"/>
          <w:left w:val="single" w:sz="8" w:space="0" w:color="86B3CB" w:themeColor="accent1"/>
          <w:bottom w:val="single" w:sz="8" w:space="0" w:color="86B3CB" w:themeColor="accent1"/>
          <w:right w:val="single" w:sz="8" w:space="0" w:color="86B3CB" w:themeColor="accent1"/>
        </w:tcBorders>
      </w:tcPr>
    </w:tblStylePr>
    <w:tblStylePr w:type="band1Vert">
      <w:tblPr/>
      <w:tcPr>
        <w:tcBorders>
          <w:top w:val="single" w:sz="8" w:space="0" w:color="86B3CB" w:themeColor="accent1"/>
          <w:left w:val="single" w:sz="8" w:space="0" w:color="86B3CB" w:themeColor="accent1"/>
          <w:bottom w:val="single" w:sz="8" w:space="0" w:color="86B3CB" w:themeColor="accent1"/>
          <w:right w:val="single" w:sz="8" w:space="0" w:color="86B3CB" w:themeColor="accent1"/>
        </w:tcBorders>
        <w:shd w:val="clear" w:color="auto" w:fill="E0ECF2" w:themeFill="accent1" w:themeFillTint="3F"/>
      </w:tcPr>
    </w:tblStylePr>
    <w:tblStylePr w:type="band1Horz">
      <w:tblPr/>
      <w:tcPr>
        <w:tcBorders>
          <w:top w:val="single" w:sz="8" w:space="0" w:color="86B3CB" w:themeColor="accent1"/>
          <w:left w:val="single" w:sz="8" w:space="0" w:color="86B3CB" w:themeColor="accent1"/>
          <w:bottom w:val="single" w:sz="8" w:space="0" w:color="86B3CB" w:themeColor="accent1"/>
          <w:right w:val="single" w:sz="8" w:space="0" w:color="86B3CB" w:themeColor="accent1"/>
          <w:insideV w:val="single" w:sz="8" w:space="0" w:color="86B3CB" w:themeColor="accent1"/>
        </w:tcBorders>
        <w:shd w:val="clear" w:color="auto" w:fill="E0ECF2" w:themeFill="accent1" w:themeFillTint="3F"/>
      </w:tcPr>
    </w:tblStylePr>
    <w:tblStylePr w:type="band2Horz">
      <w:tblPr/>
      <w:tcPr>
        <w:tcBorders>
          <w:top w:val="single" w:sz="8" w:space="0" w:color="86B3CB" w:themeColor="accent1"/>
          <w:left w:val="single" w:sz="8" w:space="0" w:color="86B3CB" w:themeColor="accent1"/>
          <w:bottom w:val="single" w:sz="8" w:space="0" w:color="86B3CB" w:themeColor="accent1"/>
          <w:right w:val="single" w:sz="8" w:space="0" w:color="86B3CB" w:themeColor="accent1"/>
          <w:insideV w:val="single" w:sz="8" w:space="0" w:color="86B3CB" w:themeColor="accent1"/>
        </w:tcBorders>
      </w:tcPr>
    </w:tblStylePr>
  </w:style>
  <w:style w:type="table" w:styleId="LightGrid-Accent2">
    <w:name w:val="Light Grid Accent 2"/>
    <w:basedOn w:val="TableNormal"/>
    <w:uiPriority w:val="62"/>
    <w:semiHidden/>
    <w:rsid w:val="00B91810"/>
    <w:pPr>
      <w:spacing w:after="0" w:line="240" w:lineRule="auto"/>
    </w:pPr>
    <w:tblPr>
      <w:tblStyleRowBandSize w:val="1"/>
      <w:tblStyleColBandSize w:val="1"/>
      <w:tblBorders>
        <w:top w:val="single" w:sz="8" w:space="0" w:color="926899" w:themeColor="accent2"/>
        <w:left w:val="single" w:sz="8" w:space="0" w:color="926899" w:themeColor="accent2"/>
        <w:bottom w:val="single" w:sz="8" w:space="0" w:color="926899" w:themeColor="accent2"/>
        <w:right w:val="single" w:sz="8" w:space="0" w:color="926899" w:themeColor="accent2"/>
        <w:insideH w:val="single" w:sz="8" w:space="0" w:color="926899" w:themeColor="accent2"/>
        <w:insideV w:val="single" w:sz="8" w:space="0" w:color="92689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6899" w:themeColor="accent2"/>
          <w:left w:val="single" w:sz="8" w:space="0" w:color="926899" w:themeColor="accent2"/>
          <w:bottom w:val="single" w:sz="18" w:space="0" w:color="926899" w:themeColor="accent2"/>
          <w:right w:val="single" w:sz="8" w:space="0" w:color="926899" w:themeColor="accent2"/>
          <w:insideH w:val="nil"/>
          <w:insideV w:val="single" w:sz="8" w:space="0" w:color="92689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6899" w:themeColor="accent2"/>
          <w:left w:val="single" w:sz="8" w:space="0" w:color="926899" w:themeColor="accent2"/>
          <w:bottom w:val="single" w:sz="8" w:space="0" w:color="926899" w:themeColor="accent2"/>
          <w:right w:val="single" w:sz="8" w:space="0" w:color="926899" w:themeColor="accent2"/>
          <w:insideH w:val="nil"/>
          <w:insideV w:val="single" w:sz="8" w:space="0" w:color="92689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6899" w:themeColor="accent2"/>
          <w:left w:val="single" w:sz="8" w:space="0" w:color="926899" w:themeColor="accent2"/>
          <w:bottom w:val="single" w:sz="8" w:space="0" w:color="926899" w:themeColor="accent2"/>
          <w:right w:val="single" w:sz="8" w:space="0" w:color="926899" w:themeColor="accent2"/>
        </w:tcBorders>
      </w:tcPr>
    </w:tblStylePr>
    <w:tblStylePr w:type="band1Vert">
      <w:tblPr/>
      <w:tcPr>
        <w:tcBorders>
          <w:top w:val="single" w:sz="8" w:space="0" w:color="926899" w:themeColor="accent2"/>
          <w:left w:val="single" w:sz="8" w:space="0" w:color="926899" w:themeColor="accent2"/>
          <w:bottom w:val="single" w:sz="8" w:space="0" w:color="926899" w:themeColor="accent2"/>
          <w:right w:val="single" w:sz="8" w:space="0" w:color="926899" w:themeColor="accent2"/>
        </w:tcBorders>
        <w:shd w:val="clear" w:color="auto" w:fill="E4D9E5" w:themeFill="accent2" w:themeFillTint="3F"/>
      </w:tcPr>
    </w:tblStylePr>
    <w:tblStylePr w:type="band1Horz">
      <w:tblPr/>
      <w:tcPr>
        <w:tcBorders>
          <w:top w:val="single" w:sz="8" w:space="0" w:color="926899" w:themeColor="accent2"/>
          <w:left w:val="single" w:sz="8" w:space="0" w:color="926899" w:themeColor="accent2"/>
          <w:bottom w:val="single" w:sz="8" w:space="0" w:color="926899" w:themeColor="accent2"/>
          <w:right w:val="single" w:sz="8" w:space="0" w:color="926899" w:themeColor="accent2"/>
          <w:insideV w:val="single" w:sz="8" w:space="0" w:color="926899" w:themeColor="accent2"/>
        </w:tcBorders>
        <w:shd w:val="clear" w:color="auto" w:fill="E4D9E5" w:themeFill="accent2" w:themeFillTint="3F"/>
      </w:tcPr>
    </w:tblStylePr>
    <w:tblStylePr w:type="band2Horz">
      <w:tblPr/>
      <w:tcPr>
        <w:tcBorders>
          <w:top w:val="single" w:sz="8" w:space="0" w:color="926899" w:themeColor="accent2"/>
          <w:left w:val="single" w:sz="8" w:space="0" w:color="926899" w:themeColor="accent2"/>
          <w:bottom w:val="single" w:sz="8" w:space="0" w:color="926899" w:themeColor="accent2"/>
          <w:right w:val="single" w:sz="8" w:space="0" w:color="926899" w:themeColor="accent2"/>
          <w:insideV w:val="single" w:sz="8" w:space="0" w:color="926899" w:themeColor="accent2"/>
        </w:tcBorders>
      </w:tcPr>
    </w:tblStylePr>
  </w:style>
  <w:style w:type="table" w:styleId="LightGrid-Accent3">
    <w:name w:val="Light Grid Accent 3"/>
    <w:basedOn w:val="TableNormal"/>
    <w:uiPriority w:val="62"/>
    <w:semiHidden/>
    <w:rsid w:val="00B91810"/>
    <w:pPr>
      <w:spacing w:after="0" w:line="240" w:lineRule="auto"/>
    </w:pPr>
    <w:tblPr>
      <w:tblStyleRowBandSize w:val="1"/>
      <w:tblStyleColBandSize w:val="1"/>
      <w:tblBorders>
        <w:top w:val="single" w:sz="8" w:space="0" w:color="7DC574" w:themeColor="accent3"/>
        <w:left w:val="single" w:sz="8" w:space="0" w:color="7DC574" w:themeColor="accent3"/>
        <w:bottom w:val="single" w:sz="8" w:space="0" w:color="7DC574" w:themeColor="accent3"/>
        <w:right w:val="single" w:sz="8" w:space="0" w:color="7DC574" w:themeColor="accent3"/>
        <w:insideH w:val="single" w:sz="8" w:space="0" w:color="7DC574" w:themeColor="accent3"/>
        <w:insideV w:val="single" w:sz="8" w:space="0" w:color="7DC57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C574" w:themeColor="accent3"/>
          <w:left w:val="single" w:sz="8" w:space="0" w:color="7DC574" w:themeColor="accent3"/>
          <w:bottom w:val="single" w:sz="18" w:space="0" w:color="7DC574" w:themeColor="accent3"/>
          <w:right w:val="single" w:sz="8" w:space="0" w:color="7DC574" w:themeColor="accent3"/>
          <w:insideH w:val="nil"/>
          <w:insideV w:val="single" w:sz="8" w:space="0" w:color="7DC57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C574" w:themeColor="accent3"/>
          <w:left w:val="single" w:sz="8" w:space="0" w:color="7DC574" w:themeColor="accent3"/>
          <w:bottom w:val="single" w:sz="8" w:space="0" w:color="7DC574" w:themeColor="accent3"/>
          <w:right w:val="single" w:sz="8" w:space="0" w:color="7DC574" w:themeColor="accent3"/>
          <w:insideH w:val="nil"/>
          <w:insideV w:val="single" w:sz="8" w:space="0" w:color="7DC57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C574" w:themeColor="accent3"/>
          <w:left w:val="single" w:sz="8" w:space="0" w:color="7DC574" w:themeColor="accent3"/>
          <w:bottom w:val="single" w:sz="8" w:space="0" w:color="7DC574" w:themeColor="accent3"/>
          <w:right w:val="single" w:sz="8" w:space="0" w:color="7DC574" w:themeColor="accent3"/>
        </w:tcBorders>
      </w:tcPr>
    </w:tblStylePr>
    <w:tblStylePr w:type="band1Vert">
      <w:tblPr/>
      <w:tcPr>
        <w:tcBorders>
          <w:top w:val="single" w:sz="8" w:space="0" w:color="7DC574" w:themeColor="accent3"/>
          <w:left w:val="single" w:sz="8" w:space="0" w:color="7DC574" w:themeColor="accent3"/>
          <w:bottom w:val="single" w:sz="8" w:space="0" w:color="7DC574" w:themeColor="accent3"/>
          <w:right w:val="single" w:sz="8" w:space="0" w:color="7DC574" w:themeColor="accent3"/>
        </w:tcBorders>
        <w:shd w:val="clear" w:color="auto" w:fill="DEF0DC" w:themeFill="accent3" w:themeFillTint="3F"/>
      </w:tcPr>
    </w:tblStylePr>
    <w:tblStylePr w:type="band1Horz">
      <w:tblPr/>
      <w:tcPr>
        <w:tcBorders>
          <w:top w:val="single" w:sz="8" w:space="0" w:color="7DC574" w:themeColor="accent3"/>
          <w:left w:val="single" w:sz="8" w:space="0" w:color="7DC574" w:themeColor="accent3"/>
          <w:bottom w:val="single" w:sz="8" w:space="0" w:color="7DC574" w:themeColor="accent3"/>
          <w:right w:val="single" w:sz="8" w:space="0" w:color="7DC574" w:themeColor="accent3"/>
          <w:insideV w:val="single" w:sz="8" w:space="0" w:color="7DC574" w:themeColor="accent3"/>
        </w:tcBorders>
        <w:shd w:val="clear" w:color="auto" w:fill="DEF0DC" w:themeFill="accent3" w:themeFillTint="3F"/>
      </w:tcPr>
    </w:tblStylePr>
    <w:tblStylePr w:type="band2Horz">
      <w:tblPr/>
      <w:tcPr>
        <w:tcBorders>
          <w:top w:val="single" w:sz="8" w:space="0" w:color="7DC574" w:themeColor="accent3"/>
          <w:left w:val="single" w:sz="8" w:space="0" w:color="7DC574" w:themeColor="accent3"/>
          <w:bottom w:val="single" w:sz="8" w:space="0" w:color="7DC574" w:themeColor="accent3"/>
          <w:right w:val="single" w:sz="8" w:space="0" w:color="7DC574" w:themeColor="accent3"/>
          <w:insideV w:val="single" w:sz="8" w:space="0" w:color="7DC574" w:themeColor="accent3"/>
        </w:tcBorders>
      </w:tcPr>
    </w:tblStylePr>
  </w:style>
  <w:style w:type="table" w:styleId="LightGrid-Accent4">
    <w:name w:val="Light Grid Accent 4"/>
    <w:basedOn w:val="TableNormal"/>
    <w:uiPriority w:val="62"/>
    <w:semiHidden/>
    <w:rsid w:val="00B91810"/>
    <w:pPr>
      <w:spacing w:after="0" w:line="240" w:lineRule="auto"/>
    </w:pPr>
    <w:tblPr>
      <w:tblStyleRowBandSize w:val="1"/>
      <w:tblStyleColBandSize w:val="1"/>
      <w:tblBorders>
        <w:top w:val="single" w:sz="8" w:space="0" w:color="F8982D" w:themeColor="accent4"/>
        <w:left w:val="single" w:sz="8" w:space="0" w:color="F8982D" w:themeColor="accent4"/>
        <w:bottom w:val="single" w:sz="8" w:space="0" w:color="F8982D" w:themeColor="accent4"/>
        <w:right w:val="single" w:sz="8" w:space="0" w:color="F8982D" w:themeColor="accent4"/>
        <w:insideH w:val="single" w:sz="8" w:space="0" w:color="F8982D" w:themeColor="accent4"/>
        <w:insideV w:val="single" w:sz="8" w:space="0" w:color="F8982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82D" w:themeColor="accent4"/>
          <w:left w:val="single" w:sz="8" w:space="0" w:color="F8982D" w:themeColor="accent4"/>
          <w:bottom w:val="single" w:sz="18" w:space="0" w:color="F8982D" w:themeColor="accent4"/>
          <w:right w:val="single" w:sz="8" w:space="0" w:color="F8982D" w:themeColor="accent4"/>
          <w:insideH w:val="nil"/>
          <w:insideV w:val="single" w:sz="8" w:space="0" w:color="F8982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82D" w:themeColor="accent4"/>
          <w:left w:val="single" w:sz="8" w:space="0" w:color="F8982D" w:themeColor="accent4"/>
          <w:bottom w:val="single" w:sz="8" w:space="0" w:color="F8982D" w:themeColor="accent4"/>
          <w:right w:val="single" w:sz="8" w:space="0" w:color="F8982D" w:themeColor="accent4"/>
          <w:insideH w:val="nil"/>
          <w:insideV w:val="single" w:sz="8" w:space="0" w:color="F8982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82D" w:themeColor="accent4"/>
          <w:left w:val="single" w:sz="8" w:space="0" w:color="F8982D" w:themeColor="accent4"/>
          <w:bottom w:val="single" w:sz="8" w:space="0" w:color="F8982D" w:themeColor="accent4"/>
          <w:right w:val="single" w:sz="8" w:space="0" w:color="F8982D" w:themeColor="accent4"/>
        </w:tcBorders>
      </w:tcPr>
    </w:tblStylePr>
    <w:tblStylePr w:type="band1Vert">
      <w:tblPr/>
      <w:tcPr>
        <w:tcBorders>
          <w:top w:val="single" w:sz="8" w:space="0" w:color="F8982D" w:themeColor="accent4"/>
          <w:left w:val="single" w:sz="8" w:space="0" w:color="F8982D" w:themeColor="accent4"/>
          <w:bottom w:val="single" w:sz="8" w:space="0" w:color="F8982D" w:themeColor="accent4"/>
          <w:right w:val="single" w:sz="8" w:space="0" w:color="F8982D" w:themeColor="accent4"/>
        </w:tcBorders>
        <w:shd w:val="clear" w:color="auto" w:fill="FDE5CB" w:themeFill="accent4" w:themeFillTint="3F"/>
      </w:tcPr>
    </w:tblStylePr>
    <w:tblStylePr w:type="band1Horz">
      <w:tblPr/>
      <w:tcPr>
        <w:tcBorders>
          <w:top w:val="single" w:sz="8" w:space="0" w:color="F8982D" w:themeColor="accent4"/>
          <w:left w:val="single" w:sz="8" w:space="0" w:color="F8982D" w:themeColor="accent4"/>
          <w:bottom w:val="single" w:sz="8" w:space="0" w:color="F8982D" w:themeColor="accent4"/>
          <w:right w:val="single" w:sz="8" w:space="0" w:color="F8982D" w:themeColor="accent4"/>
          <w:insideV w:val="single" w:sz="8" w:space="0" w:color="F8982D" w:themeColor="accent4"/>
        </w:tcBorders>
        <w:shd w:val="clear" w:color="auto" w:fill="FDE5CB" w:themeFill="accent4" w:themeFillTint="3F"/>
      </w:tcPr>
    </w:tblStylePr>
    <w:tblStylePr w:type="band2Horz">
      <w:tblPr/>
      <w:tcPr>
        <w:tcBorders>
          <w:top w:val="single" w:sz="8" w:space="0" w:color="F8982D" w:themeColor="accent4"/>
          <w:left w:val="single" w:sz="8" w:space="0" w:color="F8982D" w:themeColor="accent4"/>
          <w:bottom w:val="single" w:sz="8" w:space="0" w:color="F8982D" w:themeColor="accent4"/>
          <w:right w:val="single" w:sz="8" w:space="0" w:color="F8982D" w:themeColor="accent4"/>
          <w:insideV w:val="single" w:sz="8" w:space="0" w:color="F8982D" w:themeColor="accent4"/>
        </w:tcBorders>
      </w:tcPr>
    </w:tblStylePr>
  </w:style>
  <w:style w:type="table" w:styleId="LightGrid-Accent5">
    <w:name w:val="Light Grid Accent 5"/>
    <w:basedOn w:val="TableNormal"/>
    <w:uiPriority w:val="62"/>
    <w:semiHidden/>
    <w:rsid w:val="00B91810"/>
    <w:pPr>
      <w:spacing w:after="0" w:line="240" w:lineRule="auto"/>
    </w:pPr>
    <w:tblPr>
      <w:tblStyleRowBandSize w:val="1"/>
      <w:tblStyleColBandSize w:val="1"/>
      <w:tblBorders>
        <w:top w:val="single" w:sz="8" w:space="0" w:color="369A98" w:themeColor="accent5"/>
        <w:left w:val="single" w:sz="8" w:space="0" w:color="369A98" w:themeColor="accent5"/>
        <w:bottom w:val="single" w:sz="8" w:space="0" w:color="369A98" w:themeColor="accent5"/>
        <w:right w:val="single" w:sz="8" w:space="0" w:color="369A98" w:themeColor="accent5"/>
        <w:insideH w:val="single" w:sz="8" w:space="0" w:color="369A98" w:themeColor="accent5"/>
        <w:insideV w:val="single" w:sz="8" w:space="0" w:color="369A9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9A98" w:themeColor="accent5"/>
          <w:left w:val="single" w:sz="8" w:space="0" w:color="369A98" w:themeColor="accent5"/>
          <w:bottom w:val="single" w:sz="18" w:space="0" w:color="369A98" w:themeColor="accent5"/>
          <w:right w:val="single" w:sz="8" w:space="0" w:color="369A98" w:themeColor="accent5"/>
          <w:insideH w:val="nil"/>
          <w:insideV w:val="single" w:sz="8" w:space="0" w:color="369A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9A98" w:themeColor="accent5"/>
          <w:left w:val="single" w:sz="8" w:space="0" w:color="369A98" w:themeColor="accent5"/>
          <w:bottom w:val="single" w:sz="8" w:space="0" w:color="369A98" w:themeColor="accent5"/>
          <w:right w:val="single" w:sz="8" w:space="0" w:color="369A98" w:themeColor="accent5"/>
          <w:insideH w:val="nil"/>
          <w:insideV w:val="single" w:sz="8" w:space="0" w:color="369A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9A98" w:themeColor="accent5"/>
          <w:left w:val="single" w:sz="8" w:space="0" w:color="369A98" w:themeColor="accent5"/>
          <w:bottom w:val="single" w:sz="8" w:space="0" w:color="369A98" w:themeColor="accent5"/>
          <w:right w:val="single" w:sz="8" w:space="0" w:color="369A98" w:themeColor="accent5"/>
        </w:tcBorders>
      </w:tcPr>
    </w:tblStylePr>
    <w:tblStylePr w:type="band1Vert">
      <w:tblPr/>
      <w:tcPr>
        <w:tcBorders>
          <w:top w:val="single" w:sz="8" w:space="0" w:color="369A98" w:themeColor="accent5"/>
          <w:left w:val="single" w:sz="8" w:space="0" w:color="369A98" w:themeColor="accent5"/>
          <w:bottom w:val="single" w:sz="8" w:space="0" w:color="369A98" w:themeColor="accent5"/>
          <w:right w:val="single" w:sz="8" w:space="0" w:color="369A98" w:themeColor="accent5"/>
        </w:tcBorders>
        <w:shd w:val="clear" w:color="auto" w:fill="C7EBEA" w:themeFill="accent5" w:themeFillTint="3F"/>
      </w:tcPr>
    </w:tblStylePr>
    <w:tblStylePr w:type="band1Horz">
      <w:tblPr/>
      <w:tcPr>
        <w:tcBorders>
          <w:top w:val="single" w:sz="8" w:space="0" w:color="369A98" w:themeColor="accent5"/>
          <w:left w:val="single" w:sz="8" w:space="0" w:color="369A98" w:themeColor="accent5"/>
          <w:bottom w:val="single" w:sz="8" w:space="0" w:color="369A98" w:themeColor="accent5"/>
          <w:right w:val="single" w:sz="8" w:space="0" w:color="369A98" w:themeColor="accent5"/>
          <w:insideV w:val="single" w:sz="8" w:space="0" w:color="369A98" w:themeColor="accent5"/>
        </w:tcBorders>
        <w:shd w:val="clear" w:color="auto" w:fill="C7EBEA" w:themeFill="accent5" w:themeFillTint="3F"/>
      </w:tcPr>
    </w:tblStylePr>
    <w:tblStylePr w:type="band2Horz">
      <w:tblPr/>
      <w:tcPr>
        <w:tcBorders>
          <w:top w:val="single" w:sz="8" w:space="0" w:color="369A98" w:themeColor="accent5"/>
          <w:left w:val="single" w:sz="8" w:space="0" w:color="369A98" w:themeColor="accent5"/>
          <w:bottom w:val="single" w:sz="8" w:space="0" w:color="369A98" w:themeColor="accent5"/>
          <w:right w:val="single" w:sz="8" w:space="0" w:color="369A98" w:themeColor="accent5"/>
          <w:insideV w:val="single" w:sz="8" w:space="0" w:color="369A98" w:themeColor="accent5"/>
        </w:tcBorders>
      </w:tcPr>
    </w:tblStylePr>
  </w:style>
  <w:style w:type="table" w:styleId="LightGrid-Accent6">
    <w:name w:val="Light Grid Accent 6"/>
    <w:basedOn w:val="TableNormal"/>
    <w:uiPriority w:val="62"/>
    <w:semiHidden/>
    <w:rsid w:val="00B91810"/>
    <w:pPr>
      <w:spacing w:after="0" w:line="240" w:lineRule="auto"/>
    </w:pPr>
    <w:tblPr>
      <w:tblStyleRowBandSize w:val="1"/>
      <w:tblStyleColBandSize w:val="1"/>
      <w:tblBorders>
        <w:top w:val="single" w:sz="8" w:space="0" w:color="EFF6FA" w:themeColor="accent6"/>
        <w:left w:val="single" w:sz="8" w:space="0" w:color="EFF6FA" w:themeColor="accent6"/>
        <w:bottom w:val="single" w:sz="8" w:space="0" w:color="EFF6FA" w:themeColor="accent6"/>
        <w:right w:val="single" w:sz="8" w:space="0" w:color="EFF6FA" w:themeColor="accent6"/>
        <w:insideH w:val="single" w:sz="8" w:space="0" w:color="EFF6FA" w:themeColor="accent6"/>
        <w:insideV w:val="single" w:sz="8" w:space="0" w:color="EFF6F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F6FA" w:themeColor="accent6"/>
          <w:left w:val="single" w:sz="8" w:space="0" w:color="EFF6FA" w:themeColor="accent6"/>
          <w:bottom w:val="single" w:sz="18" w:space="0" w:color="EFF6FA" w:themeColor="accent6"/>
          <w:right w:val="single" w:sz="8" w:space="0" w:color="EFF6FA" w:themeColor="accent6"/>
          <w:insideH w:val="nil"/>
          <w:insideV w:val="single" w:sz="8" w:space="0" w:color="EFF6F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F6FA" w:themeColor="accent6"/>
          <w:left w:val="single" w:sz="8" w:space="0" w:color="EFF6FA" w:themeColor="accent6"/>
          <w:bottom w:val="single" w:sz="8" w:space="0" w:color="EFF6FA" w:themeColor="accent6"/>
          <w:right w:val="single" w:sz="8" w:space="0" w:color="EFF6FA" w:themeColor="accent6"/>
          <w:insideH w:val="nil"/>
          <w:insideV w:val="single" w:sz="8" w:space="0" w:color="EFF6F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F6FA" w:themeColor="accent6"/>
          <w:left w:val="single" w:sz="8" w:space="0" w:color="EFF6FA" w:themeColor="accent6"/>
          <w:bottom w:val="single" w:sz="8" w:space="0" w:color="EFF6FA" w:themeColor="accent6"/>
          <w:right w:val="single" w:sz="8" w:space="0" w:color="EFF6FA" w:themeColor="accent6"/>
        </w:tcBorders>
      </w:tcPr>
    </w:tblStylePr>
    <w:tblStylePr w:type="band1Vert">
      <w:tblPr/>
      <w:tcPr>
        <w:tcBorders>
          <w:top w:val="single" w:sz="8" w:space="0" w:color="EFF6FA" w:themeColor="accent6"/>
          <w:left w:val="single" w:sz="8" w:space="0" w:color="EFF6FA" w:themeColor="accent6"/>
          <w:bottom w:val="single" w:sz="8" w:space="0" w:color="EFF6FA" w:themeColor="accent6"/>
          <w:right w:val="single" w:sz="8" w:space="0" w:color="EFF6FA" w:themeColor="accent6"/>
        </w:tcBorders>
        <w:shd w:val="clear" w:color="auto" w:fill="FAFCFD" w:themeFill="accent6" w:themeFillTint="3F"/>
      </w:tcPr>
    </w:tblStylePr>
    <w:tblStylePr w:type="band1Horz">
      <w:tblPr/>
      <w:tcPr>
        <w:tcBorders>
          <w:top w:val="single" w:sz="8" w:space="0" w:color="EFF6FA" w:themeColor="accent6"/>
          <w:left w:val="single" w:sz="8" w:space="0" w:color="EFF6FA" w:themeColor="accent6"/>
          <w:bottom w:val="single" w:sz="8" w:space="0" w:color="EFF6FA" w:themeColor="accent6"/>
          <w:right w:val="single" w:sz="8" w:space="0" w:color="EFF6FA" w:themeColor="accent6"/>
          <w:insideV w:val="single" w:sz="8" w:space="0" w:color="EFF6FA" w:themeColor="accent6"/>
        </w:tcBorders>
        <w:shd w:val="clear" w:color="auto" w:fill="FAFCFD" w:themeFill="accent6" w:themeFillTint="3F"/>
      </w:tcPr>
    </w:tblStylePr>
    <w:tblStylePr w:type="band2Horz">
      <w:tblPr/>
      <w:tcPr>
        <w:tcBorders>
          <w:top w:val="single" w:sz="8" w:space="0" w:color="EFF6FA" w:themeColor="accent6"/>
          <w:left w:val="single" w:sz="8" w:space="0" w:color="EFF6FA" w:themeColor="accent6"/>
          <w:bottom w:val="single" w:sz="8" w:space="0" w:color="EFF6FA" w:themeColor="accent6"/>
          <w:right w:val="single" w:sz="8" w:space="0" w:color="EFF6FA" w:themeColor="accent6"/>
          <w:insideV w:val="single" w:sz="8" w:space="0" w:color="EFF6FA" w:themeColor="accent6"/>
        </w:tcBorders>
      </w:tcPr>
    </w:tblStylePr>
  </w:style>
  <w:style w:type="table" w:styleId="LightList">
    <w:name w:val="Light List"/>
    <w:basedOn w:val="TableNormal"/>
    <w:uiPriority w:val="61"/>
    <w:semiHidden/>
    <w:rsid w:val="00B918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B91810"/>
    <w:pPr>
      <w:spacing w:after="0" w:line="240" w:lineRule="auto"/>
    </w:pPr>
    <w:tblPr>
      <w:tblStyleRowBandSize w:val="1"/>
      <w:tblStyleColBandSize w:val="1"/>
      <w:tblBorders>
        <w:top w:val="single" w:sz="8" w:space="0" w:color="86B3CB" w:themeColor="accent1"/>
        <w:left w:val="single" w:sz="8" w:space="0" w:color="86B3CB" w:themeColor="accent1"/>
        <w:bottom w:val="single" w:sz="8" w:space="0" w:color="86B3CB" w:themeColor="accent1"/>
        <w:right w:val="single" w:sz="8" w:space="0" w:color="86B3CB" w:themeColor="accent1"/>
      </w:tblBorders>
    </w:tblPr>
    <w:tblStylePr w:type="firstRow">
      <w:pPr>
        <w:spacing w:before="0" w:after="0" w:line="240" w:lineRule="auto"/>
      </w:pPr>
      <w:rPr>
        <w:b/>
        <w:bCs/>
        <w:color w:val="FFFFFF" w:themeColor="background1"/>
      </w:rPr>
      <w:tblPr/>
      <w:tcPr>
        <w:shd w:val="clear" w:color="auto" w:fill="86B3CB" w:themeFill="accent1"/>
      </w:tcPr>
    </w:tblStylePr>
    <w:tblStylePr w:type="lastRow">
      <w:pPr>
        <w:spacing w:before="0" w:after="0" w:line="240" w:lineRule="auto"/>
      </w:pPr>
      <w:rPr>
        <w:b/>
        <w:bCs/>
      </w:rPr>
      <w:tblPr/>
      <w:tcPr>
        <w:tcBorders>
          <w:top w:val="double" w:sz="6" w:space="0" w:color="86B3CB" w:themeColor="accent1"/>
          <w:left w:val="single" w:sz="8" w:space="0" w:color="86B3CB" w:themeColor="accent1"/>
          <w:bottom w:val="single" w:sz="8" w:space="0" w:color="86B3CB" w:themeColor="accent1"/>
          <w:right w:val="single" w:sz="8" w:space="0" w:color="86B3CB" w:themeColor="accent1"/>
        </w:tcBorders>
      </w:tcPr>
    </w:tblStylePr>
    <w:tblStylePr w:type="firstCol">
      <w:rPr>
        <w:b/>
        <w:bCs/>
      </w:rPr>
    </w:tblStylePr>
    <w:tblStylePr w:type="lastCol">
      <w:rPr>
        <w:b/>
        <w:bCs/>
      </w:rPr>
    </w:tblStylePr>
    <w:tblStylePr w:type="band1Vert">
      <w:tblPr/>
      <w:tcPr>
        <w:tcBorders>
          <w:top w:val="single" w:sz="8" w:space="0" w:color="86B3CB" w:themeColor="accent1"/>
          <w:left w:val="single" w:sz="8" w:space="0" w:color="86B3CB" w:themeColor="accent1"/>
          <w:bottom w:val="single" w:sz="8" w:space="0" w:color="86B3CB" w:themeColor="accent1"/>
          <w:right w:val="single" w:sz="8" w:space="0" w:color="86B3CB" w:themeColor="accent1"/>
        </w:tcBorders>
      </w:tcPr>
    </w:tblStylePr>
    <w:tblStylePr w:type="band1Horz">
      <w:tblPr/>
      <w:tcPr>
        <w:tcBorders>
          <w:top w:val="single" w:sz="8" w:space="0" w:color="86B3CB" w:themeColor="accent1"/>
          <w:left w:val="single" w:sz="8" w:space="0" w:color="86B3CB" w:themeColor="accent1"/>
          <w:bottom w:val="single" w:sz="8" w:space="0" w:color="86B3CB" w:themeColor="accent1"/>
          <w:right w:val="single" w:sz="8" w:space="0" w:color="86B3CB" w:themeColor="accent1"/>
        </w:tcBorders>
      </w:tcPr>
    </w:tblStylePr>
  </w:style>
  <w:style w:type="table" w:styleId="LightList-Accent2">
    <w:name w:val="Light List Accent 2"/>
    <w:basedOn w:val="TableNormal"/>
    <w:uiPriority w:val="61"/>
    <w:semiHidden/>
    <w:rsid w:val="00B91810"/>
    <w:pPr>
      <w:spacing w:after="0" w:line="240" w:lineRule="auto"/>
    </w:pPr>
    <w:tblPr>
      <w:tblStyleRowBandSize w:val="1"/>
      <w:tblStyleColBandSize w:val="1"/>
      <w:tblBorders>
        <w:top w:val="single" w:sz="8" w:space="0" w:color="926899" w:themeColor="accent2"/>
        <w:left w:val="single" w:sz="8" w:space="0" w:color="926899" w:themeColor="accent2"/>
        <w:bottom w:val="single" w:sz="8" w:space="0" w:color="926899" w:themeColor="accent2"/>
        <w:right w:val="single" w:sz="8" w:space="0" w:color="926899" w:themeColor="accent2"/>
      </w:tblBorders>
    </w:tblPr>
    <w:tblStylePr w:type="firstRow">
      <w:pPr>
        <w:spacing w:before="0" w:after="0" w:line="240" w:lineRule="auto"/>
      </w:pPr>
      <w:rPr>
        <w:b/>
        <w:bCs/>
        <w:color w:val="FFFFFF" w:themeColor="background1"/>
      </w:rPr>
      <w:tblPr/>
      <w:tcPr>
        <w:shd w:val="clear" w:color="auto" w:fill="926899" w:themeFill="accent2"/>
      </w:tcPr>
    </w:tblStylePr>
    <w:tblStylePr w:type="lastRow">
      <w:pPr>
        <w:spacing w:before="0" w:after="0" w:line="240" w:lineRule="auto"/>
      </w:pPr>
      <w:rPr>
        <w:b/>
        <w:bCs/>
      </w:rPr>
      <w:tblPr/>
      <w:tcPr>
        <w:tcBorders>
          <w:top w:val="double" w:sz="6" w:space="0" w:color="926899" w:themeColor="accent2"/>
          <w:left w:val="single" w:sz="8" w:space="0" w:color="926899" w:themeColor="accent2"/>
          <w:bottom w:val="single" w:sz="8" w:space="0" w:color="926899" w:themeColor="accent2"/>
          <w:right w:val="single" w:sz="8" w:space="0" w:color="926899" w:themeColor="accent2"/>
        </w:tcBorders>
      </w:tcPr>
    </w:tblStylePr>
    <w:tblStylePr w:type="firstCol">
      <w:rPr>
        <w:b/>
        <w:bCs/>
      </w:rPr>
    </w:tblStylePr>
    <w:tblStylePr w:type="lastCol">
      <w:rPr>
        <w:b/>
        <w:bCs/>
      </w:rPr>
    </w:tblStylePr>
    <w:tblStylePr w:type="band1Vert">
      <w:tblPr/>
      <w:tcPr>
        <w:tcBorders>
          <w:top w:val="single" w:sz="8" w:space="0" w:color="926899" w:themeColor="accent2"/>
          <w:left w:val="single" w:sz="8" w:space="0" w:color="926899" w:themeColor="accent2"/>
          <w:bottom w:val="single" w:sz="8" w:space="0" w:color="926899" w:themeColor="accent2"/>
          <w:right w:val="single" w:sz="8" w:space="0" w:color="926899" w:themeColor="accent2"/>
        </w:tcBorders>
      </w:tcPr>
    </w:tblStylePr>
    <w:tblStylePr w:type="band1Horz">
      <w:tblPr/>
      <w:tcPr>
        <w:tcBorders>
          <w:top w:val="single" w:sz="8" w:space="0" w:color="926899" w:themeColor="accent2"/>
          <w:left w:val="single" w:sz="8" w:space="0" w:color="926899" w:themeColor="accent2"/>
          <w:bottom w:val="single" w:sz="8" w:space="0" w:color="926899" w:themeColor="accent2"/>
          <w:right w:val="single" w:sz="8" w:space="0" w:color="926899" w:themeColor="accent2"/>
        </w:tcBorders>
      </w:tcPr>
    </w:tblStylePr>
  </w:style>
  <w:style w:type="table" w:styleId="LightList-Accent3">
    <w:name w:val="Light List Accent 3"/>
    <w:basedOn w:val="TableNormal"/>
    <w:uiPriority w:val="61"/>
    <w:semiHidden/>
    <w:rsid w:val="00B91810"/>
    <w:pPr>
      <w:spacing w:after="0" w:line="240" w:lineRule="auto"/>
    </w:pPr>
    <w:tblPr>
      <w:tblStyleRowBandSize w:val="1"/>
      <w:tblStyleColBandSize w:val="1"/>
      <w:tblBorders>
        <w:top w:val="single" w:sz="8" w:space="0" w:color="7DC574" w:themeColor="accent3"/>
        <w:left w:val="single" w:sz="8" w:space="0" w:color="7DC574" w:themeColor="accent3"/>
        <w:bottom w:val="single" w:sz="8" w:space="0" w:color="7DC574" w:themeColor="accent3"/>
        <w:right w:val="single" w:sz="8" w:space="0" w:color="7DC574" w:themeColor="accent3"/>
      </w:tblBorders>
    </w:tblPr>
    <w:tblStylePr w:type="firstRow">
      <w:pPr>
        <w:spacing w:before="0" w:after="0" w:line="240" w:lineRule="auto"/>
      </w:pPr>
      <w:rPr>
        <w:b/>
        <w:bCs/>
        <w:color w:val="FFFFFF" w:themeColor="background1"/>
      </w:rPr>
      <w:tblPr/>
      <w:tcPr>
        <w:shd w:val="clear" w:color="auto" w:fill="7DC574" w:themeFill="accent3"/>
      </w:tcPr>
    </w:tblStylePr>
    <w:tblStylePr w:type="lastRow">
      <w:pPr>
        <w:spacing w:before="0" w:after="0" w:line="240" w:lineRule="auto"/>
      </w:pPr>
      <w:rPr>
        <w:b/>
        <w:bCs/>
      </w:rPr>
      <w:tblPr/>
      <w:tcPr>
        <w:tcBorders>
          <w:top w:val="double" w:sz="6" w:space="0" w:color="7DC574" w:themeColor="accent3"/>
          <w:left w:val="single" w:sz="8" w:space="0" w:color="7DC574" w:themeColor="accent3"/>
          <w:bottom w:val="single" w:sz="8" w:space="0" w:color="7DC574" w:themeColor="accent3"/>
          <w:right w:val="single" w:sz="8" w:space="0" w:color="7DC574" w:themeColor="accent3"/>
        </w:tcBorders>
      </w:tcPr>
    </w:tblStylePr>
    <w:tblStylePr w:type="firstCol">
      <w:rPr>
        <w:b/>
        <w:bCs/>
      </w:rPr>
    </w:tblStylePr>
    <w:tblStylePr w:type="lastCol">
      <w:rPr>
        <w:b/>
        <w:bCs/>
      </w:rPr>
    </w:tblStylePr>
    <w:tblStylePr w:type="band1Vert">
      <w:tblPr/>
      <w:tcPr>
        <w:tcBorders>
          <w:top w:val="single" w:sz="8" w:space="0" w:color="7DC574" w:themeColor="accent3"/>
          <w:left w:val="single" w:sz="8" w:space="0" w:color="7DC574" w:themeColor="accent3"/>
          <w:bottom w:val="single" w:sz="8" w:space="0" w:color="7DC574" w:themeColor="accent3"/>
          <w:right w:val="single" w:sz="8" w:space="0" w:color="7DC574" w:themeColor="accent3"/>
        </w:tcBorders>
      </w:tcPr>
    </w:tblStylePr>
    <w:tblStylePr w:type="band1Horz">
      <w:tblPr/>
      <w:tcPr>
        <w:tcBorders>
          <w:top w:val="single" w:sz="8" w:space="0" w:color="7DC574" w:themeColor="accent3"/>
          <w:left w:val="single" w:sz="8" w:space="0" w:color="7DC574" w:themeColor="accent3"/>
          <w:bottom w:val="single" w:sz="8" w:space="0" w:color="7DC574" w:themeColor="accent3"/>
          <w:right w:val="single" w:sz="8" w:space="0" w:color="7DC574" w:themeColor="accent3"/>
        </w:tcBorders>
      </w:tcPr>
    </w:tblStylePr>
  </w:style>
  <w:style w:type="table" w:styleId="LightList-Accent4">
    <w:name w:val="Light List Accent 4"/>
    <w:basedOn w:val="TableNormal"/>
    <w:uiPriority w:val="61"/>
    <w:semiHidden/>
    <w:rsid w:val="00B91810"/>
    <w:pPr>
      <w:spacing w:after="0" w:line="240" w:lineRule="auto"/>
    </w:pPr>
    <w:tblPr>
      <w:tblStyleRowBandSize w:val="1"/>
      <w:tblStyleColBandSize w:val="1"/>
      <w:tblBorders>
        <w:top w:val="single" w:sz="8" w:space="0" w:color="F8982D" w:themeColor="accent4"/>
        <w:left w:val="single" w:sz="8" w:space="0" w:color="F8982D" w:themeColor="accent4"/>
        <w:bottom w:val="single" w:sz="8" w:space="0" w:color="F8982D" w:themeColor="accent4"/>
        <w:right w:val="single" w:sz="8" w:space="0" w:color="F8982D" w:themeColor="accent4"/>
      </w:tblBorders>
    </w:tblPr>
    <w:tblStylePr w:type="firstRow">
      <w:pPr>
        <w:spacing w:before="0" w:after="0" w:line="240" w:lineRule="auto"/>
      </w:pPr>
      <w:rPr>
        <w:b/>
        <w:bCs/>
        <w:color w:val="FFFFFF" w:themeColor="background1"/>
      </w:rPr>
      <w:tblPr/>
      <w:tcPr>
        <w:shd w:val="clear" w:color="auto" w:fill="F8982D" w:themeFill="accent4"/>
      </w:tcPr>
    </w:tblStylePr>
    <w:tblStylePr w:type="lastRow">
      <w:pPr>
        <w:spacing w:before="0" w:after="0" w:line="240" w:lineRule="auto"/>
      </w:pPr>
      <w:rPr>
        <w:b/>
        <w:bCs/>
      </w:rPr>
      <w:tblPr/>
      <w:tcPr>
        <w:tcBorders>
          <w:top w:val="double" w:sz="6" w:space="0" w:color="F8982D" w:themeColor="accent4"/>
          <w:left w:val="single" w:sz="8" w:space="0" w:color="F8982D" w:themeColor="accent4"/>
          <w:bottom w:val="single" w:sz="8" w:space="0" w:color="F8982D" w:themeColor="accent4"/>
          <w:right w:val="single" w:sz="8" w:space="0" w:color="F8982D" w:themeColor="accent4"/>
        </w:tcBorders>
      </w:tcPr>
    </w:tblStylePr>
    <w:tblStylePr w:type="firstCol">
      <w:rPr>
        <w:b/>
        <w:bCs/>
      </w:rPr>
    </w:tblStylePr>
    <w:tblStylePr w:type="lastCol">
      <w:rPr>
        <w:b/>
        <w:bCs/>
      </w:rPr>
    </w:tblStylePr>
    <w:tblStylePr w:type="band1Vert">
      <w:tblPr/>
      <w:tcPr>
        <w:tcBorders>
          <w:top w:val="single" w:sz="8" w:space="0" w:color="F8982D" w:themeColor="accent4"/>
          <w:left w:val="single" w:sz="8" w:space="0" w:color="F8982D" w:themeColor="accent4"/>
          <w:bottom w:val="single" w:sz="8" w:space="0" w:color="F8982D" w:themeColor="accent4"/>
          <w:right w:val="single" w:sz="8" w:space="0" w:color="F8982D" w:themeColor="accent4"/>
        </w:tcBorders>
      </w:tcPr>
    </w:tblStylePr>
    <w:tblStylePr w:type="band1Horz">
      <w:tblPr/>
      <w:tcPr>
        <w:tcBorders>
          <w:top w:val="single" w:sz="8" w:space="0" w:color="F8982D" w:themeColor="accent4"/>
          <w:left w:val="single" w:sz="8" w:space="0" w:color="F8982D" w:themeColor="accent4"/>
          <w:bottom w:val="single" w:sz="8" w:space="0" w:color="F8982D" w:themeColor="accent4"/>
          <w:right w:val="single" w:sz="8" w:space="0" w:color="F8982D" w:themeColor="accent4"/>
        </w:tcBorders>
      </w:tcPr>
    </w:tblStylePr>
  </w:style>
  <w:style w:type="table" w:styleId="LightList-Accent5">
    <w:name w:val="Light List Accent 5"/>
    <w:basedOn w:val="TableNormal"/>
    <w:uiPriority w:val="61"/>
    <w:semiHidden/>
    <w:rsid w:val="00B91810"/>
    <w:pPr>
      <w:spacing w:after="0" w:line="240" w:lineRule="auto"/>
    </w:pPr>
    <w:tblPr>
      <w:tblStyleRowBandSize w:val="1"/>
      <w:tblStyleColBandSize w:val="1"/>
      <w:tblBorders>
        <w:top w:val="single" w:sz="8" w:space="0" w:color="369A98" w:themeColor="accent5"/>
        <w:left w:val="single" w:sz="8" w:space="0" w:color="369A98" w:themeColor="accent5"/>
        <w:bottom w:val="single" w:sz="8" w:space="0" w:color="369A98" w:themeColor="accent5"/>
        <w:right w:val="single" w:sz="8" w:space="0" w:color="369A98" w:themeColor="accent5"/>
      </w:tblBorders>
    </w:tblPr>
    <w:tblStylePr w:type="firstRow">
      <w:pPr>
        <w:spacing w:before="0" w:after="0" w:line="240" w:lineRule="auto"/>
      </w:pPr>
      <w:rPr>
        <w:b/>
        <w:bCs/>
        <w:color w:val="FFFFFF" w:themeColor="background1"/>
      </w:rPr>
      <w:tblPr/>
      <w:tcPr>
        <w:shd w:val="clear" w:color="auto" w:fill="369A98" w:themeFill="accent5"/>
      </w:tcPr>
    </w:tblStylePr>
    <w:tblStylePr w:type="lastRow">
      <w:pPr>
        <w:spacing w:before="0" w:after="0" w:line="240" w:lineRule="auto"/>
      </w:pPr>
      <w:rPr>
        <w:b/>
        <w:bCs/>
      </w:rPr>
      <w:tblPr/>
      <w:tcPr>
        <w:tcBorders>
          <w:top w:val="double" w:sz="6" w:space="0" w:color="369A98" w:themeColor="accent5"/>
          <w:left w:val="single" w:sz="8" w:space="0" w:color="369A98" w:themeColor="accent5"/>
          <w:bottom w:val="single" w:sz="8" w:space="0" w:color="369A98" w:themeColor="accent5"/>
          <w:right w:val="single" w:sz="8" w:space="0" w:color="369A98" w:themeColor="accent5"/>
        </w:tcBorders>
      </w:tcPr>
    </w:tblStylePr>
    <w:tblStylePr w:type="firstCol">
      <w:rPr>
        <w:b/>
        <w:bCs/>
      </w:rPr>
    </w:tblStylePr>
    <w:tblStylePr w:type="lastCol">
      <w:rPr>
        <w:b/>
        <w:bCs/>
      </w:rPr>
    </w:tblStylePr>
    <w:tblStylePr w:type="band1Vert">
      <w:tblPr/>
      <w:tcPr>
        <w:tcBorders>
          <w:top w:val="single" w:sz="8" w:space="0" w:color="369A98" w:themeColor="accent5"/>
          <w:left w:val="single" w:sz="8" w:space="0" w:color="369A98" w:themeColor="accent5"/>
          <w:bottom w:val="single" w:sz="8" w:space="0" w:color="369A98" w:themeColor="accent5"/>
          <w:right w:val="single" w:sz="8" w:space="0" w:color="369A98" w:themeColor="accent5"/>
        </w:tcBorders>
      </w:tcPr>
    </w:tblStylePr>
    <w:tblStylePr w:type="band1Horz">
      <w:tblPr/>
      <w:tcPr>
        <w:tcBorders>
          <w:top w:val="single" w:sz="8" w:space="0" w:color="369A98" w:themeColor="accent5"/>
          <w:left w:val="single" w:sz="8" w:space="0" w:color="369A98" w:themeColor="accent5"/>
          <w:bottom w:val="single" w:sz="8" w:space="0" w:color="369A98" w:themeColor="accent5"/>
          <w:right w:val="single" w:sz="8" w:space="0" w:color="369A98" w:themeColor="accent5"/>
        </w:tcBorders>
      </w:tcPr>
    </w:tblStylePr>
  </w:style>
  <w:style w:type="table" w:styleId="LightList-Accent6">
    <w:name w:val="Light List Accent 6"/>
    <w:basedOn w:val="TableNormal"/>
    <w:uiPriority w:val="61"/>
    <w:semiHidden/>
    <w:rsid w:val="00B91810"/>
    <w:pPr>
      <w:spacing w:after="0" w:line="240" w:lineRule="auto"/>
    </w:pPr>
    <w:tblPr>
      <w:tblStyleRowBandSize w:val="1"/>
      <w:tblStyleColBandSize w:val="1"/>
      <w:tblBorders>
        <w:top w:val="single" w:sz="8" w:space="0" w:color="EFF6FA" w:themeColor="accent6"/>
        <w:left w:val="single" w:sz="8" w:space="0" w:color="EFF6FA" w:themeColor="accent6"/>
        <w:bottom w:val="single" w:sz="8" w:space="0" w:color="EFF6FA" w:themeColor="accent6"/>
        <w:right w:val="single" w:sz="8" w:space="0" w:color="EFF6FA" w:themeColor="accent6"/>
      </w:tblBorders>
    </w:tblPr>
    <w:tblStylePr w:type="firstRow">
      <w:pPr>
        <w:spacing w:before="0" w:after="0" w:line="240" w:lineRule="auto"/>
      </w:pPr>
      <w:rPr>
        <w:b/>
        <w:bCs/>
        <w:color w:val="FFFFFF" w:themeColor="background1"/>
      </w:rPr>
      <w:tblPr/>
      <w:tcPr>
        <w:shd w:val="clear" w:color="auto" w:fill="EFF6FA" w:themeFill="accent6"/>
      </w:tcPr>
    </w:tblStylePr>
    <w:tblStylePr w:type="lastRow">
      <w:pPr>
        <w:spacing w:before="0" w:after="0" w:line="240" w:lineRule="auto"/>
      </w:pPr>
      <w:rPr>
        <w:b/>
        <w:bCs/>
      </w:rPr>
      <w:tblPr/>
      <w:tcPr>
        <w:tcBorders>
          <w:top w:val="double" w:sz="6" w:space="0" w:color="EFF6FA" w:themeColor="accent6"/>
          <w:left w:val="single" w:sz="8" w:space="0" w:color="EFF6FA" w:themeColor="accent6"/>
          <w:bottom w:val="single" w:sz="8" w:space="0" w:color="EFF6FA" w:themeColor="accent6"/>
          <w:right w:val="single" w:sz="8" w:space="0" w:color="EFF6FA" w:themeColor="accent6"/>
        </w:tcBorders>
      </w:tcPr>
    </w:tblStylePr>
    <w:tblStylePr w:type="firstCol">
      <w:rPr>
        <w:b/>
        <w:bCs/>
      </w:rPr>
    </w:tblStylePr>
    <w:tblStylePr w:type="lastCol">
      <w:rPr>
        <w:b/>
        <w:bCs/>
      </w:rPr>
    </w:tblStylePr>
    <w:tblStylePr w:type="band1Vert">
      <w:tblPr/>
      <w:tcPr>
        <w:tcBorders>
          <w:top w:val="single" w:sz="8" w:space="0" w:color="EFF6FA" w:themeColor="accent6"/>
          <w:left w:val="single" w:sz="8" w:space="0" w:color="EFF6FA" w:themeColor="accent6"/>
          <w:bottom w:val="single" w:sz="8" w:space="0" w:color="EFF6FA" w:themeColor="accent6"/>
          <w:right w:val="single" w:sz="8" w:space="0" w:color="EFF6FA" w:themeColor="accent6"/>
        </w:tcBorders>
      </w:tcPr>
    </w:tblStylePr>
    <w:tblStylePr w:type="band1Horz">
      <w:tblPr/>
      <w:tcPr>
        <w:tcBorders>
          <w:top w:val="single" w:sz="8" w:space="0" w:color="EFF6FA" w:themeColor="accent6"/>
          <w:left w:val="single" w:sz="8" w:space="0" w:color="EFF6FA" w:themeColor="accent6"/>
          <w:bottom w:val="single" w:sz="8" w:space="0" w:color="EFF6FA" w:themeColor="accent6"/>
          <w:right w:val="single" w:sz="8" w:space="0" w:color="EFF6FA" w:themeColor="accent6"/>
        </w:tcBorders>
      </w:tcPr>
    </w:tblStylePr>
  </w:style>
  <w:style w:type="table" w:styleId="LightShading">
    <w:name w:val="Light Shading"/>
    <w:basedOn w:val="TableNormal"/>
    <w:uiPriority w:val="60"/>
    <w:semiHidden/>
    <w:rsid w:val="00B9181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B91810"/>
    <w:pPr>
      <w:spacing w:after="0" w:line="240" w:lineRule="auto"/>
    </w:pPr>
    <w:rPr>
      <w:color w:val="4C8DB0" w:themeColor="accent1" w:themeShade="BF"/>
    </w:rPr>
    <w:tblPr>
      <w:tblStyleRowBandSize w:val="1"/>
      <w:tblStyleColBandSize w:val="1"/>
      <w:tblBorders>
        <w:top w:val="single" w:sz="8" w:space="0" w:color="86B3CB" w:themeColor="accent1"/>
        <w:bottom w:val="single" w:sz="8" w:space="0" w:color="86B3CB" w:themeColor="accent1"/>
      </w:tblBorders>
    </w:tblPr>
    <w:tblStylePr w:type="firstRow">
      <w:pPr>
        <w:spacing w:before="0" w:after="0" w:line="240" w:lineRule="auto"/>
      </w:pPr>
      <w:rPr>
        <w:b/>
        <w:bCs/>
      </w:rPr>
      <w:tblPr/>
      <w:tcPr>
        <w:tcBorders>
          <w:top w:val="single" w:sz="8" w:space="0" w:color="86B3CB" w:themeColor="accent1"/>
          <w:left w:val="nil"/>
          <w:bottom w:val="single" w:sz="8" w:space="0" w:color="86B3CB" w:themeColor="accent1"/>
          <w:right w:val="nil"/>
          <w:insideH w:val="nil"/>
          <w:insideV w:val="nil"/>
        </w:tcBorders>
      </w:tcPr>
    </w:tblStylePr>
    <w:tblStylePr w:type="lastRow">
      <w:pPr>
        <w:spacing w:before="0" w:after="0" w:line="240" w:lineRule="auto"/>
      </w:pPr>
      <w:rPr>
        <w:b/>
        <w:bCs/>
      </w:rPr>
      <w:tblPr/>
      <w:tcPr>
        <w:tcBorders>
          <w:top w:val="single" w:sz="8" w:space="0" w:color="86B3CB" w:themeColor="accent1"/>
          <w:left w:val="nil"/>
          <w:bottom w:val="single" w:sz="8" w:space="0" w:color="86B3C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CF2" w:themeFill="accent1" w:themeFillTint="3F"/>
      </w:tcPr>
    </w:tblStylePr>
    <w:tblStylePr w:type="band1Horz">
      <w:tblPr/>
      <w:tcPr>
        <w:tcBorders>
          <w:left w:val="nil"/>
          <w:right w:val="nil"/>
          <w:insideH w:val="nil"/>
          <w:insideV w:val="nil"/>
        </w:tcBorders>
        <w:shd w:val="clear" w:color="auto" w:fill="E0ECF2" w:themeFill="accent1" w:themeFillTint="3F"/>
      </w:tcPr>
    </w:tblStylePr>
  </w:style>
  <w:style w:type="table" w:styleId="LightShading-Accent2">
    <w:name w:val="Light Shading Accent 2"/>
    <w:basedOn w:val="TableNormal"/>
    <w:uiPriority w:val="60"/>
    <w:semiHidden/>
    <w:rsid w:val="00B91810"/>
    <w:pPr>
      <w:spacing w:after="0" w:line="240" w:lineRule="auto"/>
    </w:pPr>
    <w:rPr>
      <w:color w:val="6D4D72" w:themeColor="accent2" w:themeShade="BF"/>
    </w:rPr>
    <w:tblPr>
      <w:tblStyleRowBandSize w:val="1"/>
      <w:tblStyleColBandSize w:val="1"/>
      <w:tblBorders>
        <w:top w:val="single" w:sz="8" w:space="0" w:color="926899" w:themeColor="accent2"/>
        <w:bottom w:val="single" w:sz="8" w:space="0" w:color="926899" w:themeColor="accent2"/>
      </w:tblBorders>
    </w:tblPr>
    <w:tblStylePr w:type="firstRow">
      <w:pPr>
        <w:spacing w:before="0" w:after="0" w:line="240" w:lineRule="auto"/>
      </w:pPr>
      <w:rPr>
        <w:b/>
        <w:bCs/>
      </w:rPr>
      <w:tblPr/>
      <w:tcPr>
        <w:tcBorders>
          <w:top w:val="single" w:sz="8" w:space="0" w:color="926899" w:themeColor="accent2"/>
          <w:left w:val="nil"/>
          <w:bottom w:val="single" w:sz="8" w:space="0" w:color="926899" w:themeColor="accent2"/>
          <w:right w:val="nil"/>
          <w:insideH w:val="nil"/>
          <w:insideV w:val="nil"/>
        </w:tcBorders>
      </w:tcPr>
    </w:tblStylePr>
    <w:tblStylePr w:type="lastRow">
      <w:pPr>
        <w:spacing w:before="0" w:after="0" w:line="240" w:lineRule="auto"/>
      </w:pPr>
      <w:rPr>
        <w:b/>
        <w:bCs/>
      </w:rPr>
      <w:tblPr/>
      <w:tcPr>
        <w:tcBorders>
          <w:top w:val="single" w:sz="8" w:space="0" w:color="926899" w:themeColor="accent2"/>
          <w:left w:val="nil"/>
          <w:bottom w:val="single" w:sz="8" w:space="0" w:color="9268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9E5" w:themeFill="accent2" w:themeFillTint="3F"/>
      </w:tcPr>
    </w:tblStylePr>
    <w:tblStylePr w:type="band1Horz">
      <w:tblPr/>
      <w:tcPr>
        <w:tcBorders>
          <w:left w:val="nil"/>
          <w:right w:val="nil"/>
          <w:insideH w:val="nil"/>
          <w:insideV w:val="nil"/>
        </w:tcBorders>
        <w:shd w:val="clear" w:color="auto" w:fill="E4D9E5" w:themeFill="accent2" w:themeFillTint="3F"/>
      </w:tcPr>
    </w:tblStylePr>
  </w:style>
  <w:style w:type="table" w:styleId="LightShading-Accent3">
    <w:name w:val="Light Shading Accent 3"/>
    <w:basedOn w:val="TableNormal"/>
    <w:uiPriority w:val="60"/>
    <w:semiHidden/>
    <w:rsid w:val="00B91810"/>
    <w:pPr>
      <w:spacing w:after="0" w:line="240" w:lineRule="auto"/>
    </w:pPr>
    <w:rPr>
      <w:color w:val="4FA545" w:themeColor="accent3" w:themeShade="BF"/>
    </w:rPr>
    <w:tblPr>
      <w:tblStyleRowBandSize w:val="1"/>
      <w:tblStyleColBandSize w:val="1"/>
      <w:tblBorders>
        <w:top w:val="single" w:sz="8" w:space="0" w:color="7DC574" w:themeColor="accent3"/>
        <w:bottom w:val="single" w:sz="8" w:space="0" w:color="7DC574" w:themeColor="accent3"/>
      </w:tblBorders>
    </w:tblPr>
    <w:tblStylePr w:type="firstRow">
      <w:pPr>
        <w:spacing w:before="0" w:after="0" w:line="240" w:lineRule="auto"/>
      </w:pPr>
      <w:rPr>
        <w:b/>
        <w:bCs/>
      </w:rPr>
      <w:tblPr/>
      <w:tcPr>
        <w:tcBorders>
          <w:top w:val="single" w:sz="8" w:space="0" w:color="7DC574" w:themeColor="accent3"/>
          <w:left w:val="nil"/>
          <w:bottom w:val="single" w:sz="8" w:space="0" w:color="7DC574" w:themeColor="accent3"/>
          <w:right w:val="nil"/>
          <w:insideH w:val="nil"/>
          <w:insideV w:val="nil"/>
        </w:tcBorders>
      </w:tcPr>
    </w:tblStylePr>
    <w:tblStylePr w:type="lastRow">
      <w:pPr>
        <w:spacing w:before="0" w:after="0" w:line="240" w:lineRule="auto"/>
      </w:pPr>
      <w:rPr>
        <w:b/>
        <w:bCs/>
      </w:rPr>
      <w:tblPr/>
      <w:tcPr>
        <w:tcBorders>
          <w:top w:val="single" w:sz="8" w:space="0" w:color="7DC574" w:themeColor="accent3"/>
          <w:left w:val="nil"/>
          <w:bottom w:val="single" w:sz="8" w:space="0" w:color="7DC57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0DC" w:themeFill="accent3" w:themeFillTint="3F"/>
      </w:tcPr>
    </w:tblStylePr>
    <w:tblStylePr w:type="band1Horz">
      <w:tblPr/>
      <w:tcPr>
        <w:tcBorders>
          <w:left w:val="nil"/>
          <w:right w:val="nil"/>
          <w:insideH w:val="nil"/>
          <w:insideV w:val="nil"/>
        </w:tcBorders>
        <w:shd w:val="clear" w:color="auto" w:fill="DEF0DC" w:themeFill="accent3" w:themeFillTint="3F"/>
      </w:tcPr>
    </w:tblStylePr>
  </w:style>
  <w:style w:type="table" w:styleId="LightShading-Accent4">
    <w:name w:val="Light Shading Accent 4"/>
    <w:basedOn w:val="TableNormal"/>
    <w:uiPriority w:val="60"/>
    <w:semiHidden/>
    <w:rsid w:val="00B91810"/>
    <w:pPr>
      <w:spacing w:after="0" w:line="240" w:lineRule="auto"/>
    </w:pPr>
    <w:rPr>
      <w:color w:val="D47207" w:themeColor="accent4" w:themeShade="BF"/>
    </w:rPr>
    <w:tblPr>
      <w:tblStyleRowBandSize w:val="1"/>
      <w:tblStyleColBandSize w:val="1"/>
      <w:tblBorders>
        <w:top w:val="single" w:sz="8" w:space="0" w:color="F8982D" w:themeColor="accent4"/>
        <w:bottom w:val="single" w:sz="8" w:space="0" w:color="F8982D" w:themeColor="accent4"/>
      </w:tblBorders>
    </w:tblPr>
    <w:tblStylePr w:type="firstRow">
      <w:pPr>
        <w:spacing w:before="0" w:after="0" w:line="240" w:lineRule="auto"/>
      </w:pPr>
      <w:rPr>
        <w:b/>
        <w:bCs/>
      </w:rPr>
      <w:tblPr/>
      <w:tcPr>
        <w:tcBorders>
          <w:top w:val="single" w:sz="8" w:space="0" w:color="F8982D" w:themeColor="accent4"/>
          <w:left w:val="nil"/>
          <w:bottom w:val="single" w:sz="8" w:space="0" w:color="F8982D" w:themeColor="accent4"/>
          <w:right w:val="nil"/>
          <w:insideH w:val="nil"/>
          <w:insideV w:val="nil"/>
        </w:tcBorders>
      </w:tcPr>
    </w:tblStylePr>
    <w:tblStylePr w:type="lastRow">
      <w:pPr>
        <w:spacing w:before="0" w:after="0" w:line="240" w:lineRule="auto"/>
      </w:pPr>
      <w:rPr>
        <w:b/>
        <w:bCs/>
      </w:rPr>
      <w:tblPr/>
      <w:tcPr>
        <w:tcBorders>
          <w:top w:val="single" w:sz="8" w:space="0" w:color="F8982D" w:themeColor="accent4"/>
          <w:left w:val="nil"/>
          <w:bottom w:val="single" w:sz="8" w:space="0" w:color="F8982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B" w:themeFill="accent4" w:themeFillTint="3F"/>
      </w:tcPr>
    </w:tblStylePr>
    <w:tblStylePr w:type="band1Horz">
      <w:tblPr/>
      <w:tcPr>
        <w:tcBorders>
          <w:left w:val="nil"/>
          <w:right w:val="nil"/>
          <w:insideH w:val="nil"/>
          <w:insideV w:val="nil"/>
        </w:tcBorders>
        <w:shd w:val="clear" w:color="auto" w:fill="FDE5CB" w:themeFill="accent4" w:themeFillTint="3F"/>
      </w:tcPr>
    </w:tblStylePr>
  </w:style>
  <w:style w:type="table" w:styleId="LightShading-Accent5">
    <w:name w:val="Light Shading Accent 5"/>
    <w:basedOn w:val="TableNormal"/>
    <w:uiPriority w:val="60"/>
    <w:semiHidden/>
    <w:rsid w:val="00B91810"/>
    <w:pPr>
      <w:spacing w:after="0" w:line="240" w:lineRule="auto"/>
    </w:pPr>
    <w:rPr>
      <w:color w:val="287371" w:themeColor="accent5" w:themeShade="BF"/>
    </w:rPr>
    <w:tblPr>
      <w:tblStyleRowBandSize w:val="1"/>
      <w:tblStyleColBandSize w:val="1"/>
      <w:tblBorders>
        <w:top w:val="single" w:sz="8" w:space="0" w:color="369A98" w:themeColor="accent5"/>
        <w:bottom w:val="single" w:sz="8" w:space="0" w:color="369A98" w:themeColor="accent5"/>
      </w:tblBorders>
    </w:tblPr>
    <w:tblStylePr w:type="firstRow">
      <w:pPr>
        <w:spacing w:before="0" w:after="0" w:line="240" w:lineRule="auto"/>
      </w:pPr>
      <w:rPr>
        <w:b/>
        <w:bCs/>
      </w:rPr>
      <w:tblPr/>
      <w:tcPr>
        <w:tcBorders>
          <w:top w:val="single" w:sz="8" w:space="0" w:color="369A98" w:themeColor="accent5"/>
          <w:left w:val="nil"/>
          <w:bottom w:val="single" w:sz="8" w:space="0" w:color="369A98" w:themeColor="accent5"/>
          <w:right w:val="nil"/>
          <w:insideH w:val="nil"/>
          <w:insideV w:val="nil"/>
        </w:tcBorders>
      </w:tcPr>
    </w:tblStylePr>
    <w:tblStylePr w:type="lastRow">
      <w:pPr>
        <w:spacing w:before="0" w:after="0" w:line="240" w:lineRule="auto"/>
      </w:pPr>
      <w:rPr>
        <w:b/>
        <w:bCs/>
      </w:rPr>
      <w:tblPr/>
      <w:tcPr>
        <w:tcBorders>
          <w:top w:val="single" w:sz="8" w:space="0" w:color="369A98" w:themeColor="accent5"/>
          <w:left w:val="nil"/>
          <w:bottom w:val="single" w:sz="8" w:space="0" w:color="369A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BEA" w:themeFill="accent5" w:themeFillTint="3F"/>
      </w:tcPr>
    </w:tblStylePr>
    <w:tblStylePr w:type="band1Horz">
      <w:tblPr/>
      <w:tcPr>
        <w:tcBorders>
          <w:left w:val="nil"/>
          <w:right w:val="nil"/>
          <w:insideH w:val="nil"/>
          <w:insideV w:val="nil"/>
        </w:tcBorders>
        <w:shd w:val="clear" w:color="auto" w:fill="C7EBEA" w:themeFill="accent5" w:themeFillTint="3F"/>
      </w:tcPr>
    </w:tblStylePr>
  </w:style>
  <w:style w:type="table" w:styleId="LightShading-Accent6">
    <w:name w:val="Light Shading Accent 6"/>
    <w:basedOn w:val="TableNormal"/>
    <w:uiPriority w:val="60"/>
    <w:semiHidden/>
    <w:rsid w:val="00B91810"/>
    <w:pPr>
      <w:spacing w:after="0" w:line="240" w:lineRule="auto"/>
    </w:pPr>
    <w:rPr>
      <w:color w:val="91C1DC" w:themeColor="accent6" w:themeShade="BF"/>
    </w:rPr>
    <w:tblPr>
      <w:tblStyleRowBandSize w:val="1"/>
      <w:tblStyleColBandSize w:val="1"/>
      <w:tblBorders>
        <w:top w:val="single" w:sz="8" w:space="0" w:color="EFF6FA" w:themeColor="accent6"/>
        <w:bottom w:val="single" w:sz="8" w:space="0" w:color="EFF6FA" w:themeColor="accent6"/>
      </w:tblBorders>
    </w:tblPr>
    <w:tblStylePr w:type="firstRow">
      <w:pPr>
        <w:spacing w:before="0" w:after="0" w:line="240" w:lineRule="auto"/>
      </w:pPr>
      <w:rPr>
        <w:b/>
        <w:bCs/>
      </w:rPr>
      <w:tblPr/>
      <w:tcPr>
        <w:tcBorders>
          <w:top w:val="single" w:sz="8" w:space="0" w:color="EFF6FA" w:themeColor="accent6"/>
          <w:left w:val="nil"/>
          <w:bottom w:val="single" w:sz="8" w:space="0" w:color="EFF6FA" w:themeColor="accent6"/>
          <w:right w:val="nil"/>
          <w:insideH w:val="nil"/>
          <w:insideV w:val="nil"/>
        </w:tcBorders>
      </w:tcPr>
    </w:tblStylePr>
    <w:tblStylePr w:type="lastRow">
      <w:pPr>
        <w:spacing w:before="0" w:after="0" w:line="240" w:lineRule="auto"/>
      </w:pPr>
      <w:rPr>
        <w:b/>
        <w:bCs/>
      </w:rPr>
      <w:tblPr/>
      <w:tcPr>
        <w:tcBorders>
          <w:top w:val="single" w:sz="8" w:space="0" w:color="EFF6FA" w:themeColor="accent6"/>
          <w:left w:val="nil"/>
          <w:bottom w:val="single" w:sz="8" w:space="0" w:color="EFF6F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D" w:themeFill="accent6" w:themeFillTint="3F"/>
      </w:tcPr>
    </w:tblStylePr>
    <w:tblStylePr w:type="band1Horz">
      <w:tblPr/>
      <w:tcPr>
        <w:tcBorders>
          <w:left w:val="nil"/>
          <w:right w:val="nil"/>
          <w:insideH w:val="nil"/>
          <w:insideV w:val="nil"/>
        </w:tcBorders>
        <w:shd w:val="clear" w:color="auto" w:fill="FAFCFD" w:themeFill="accent6" w:themeFillTint="3F"/>
      </w:tcPr>
    </w:tblStylePr>
  </w:style>
  <w:style w:type="character" w:styleId="LineNumber">
    <w:name w:val="line number"/>
    <w:basedOn w:val="DefaultParagraphFont"/>
    <w:uiPriority w:val="99"/>
    <w:semiHidden/>
    <w:unhideWhenUsed/>
    <w:rsid w:val="00B91810"/>
    <w:rPr>
      <w:lang w:val="en-GB"/>
    </w:rPr>
  </w:style>
  <w:style w:type="paragraph" w:styleId="List">
    <w:name w:val="List"/>
    <w:basedOn w:val="Normal"/>
    <w:uiPriority w:val="99"/>
    <w:semiHidden/>
    <w:unhideWhenUsed/>
    <w:rsid w:val="00B91810"/>
    <w:pPr>
      <w:ind w:left="283" w:hanging="283"/>
      <w:contextualSpacing/>
    </w:pPr>
  </w:style>
  <w:style w:type="paragraph" w:styleId="List2">
    <w:name w:val="List 2"/>
    <w:basedOn w:val="Normal"/>
    <w:uiPriority w:val="99"/>
    <w:semiHidden/>
    <w:unhideWhenUsed/>
    <w:rsid w:val="00B91810"/>
    <w:pPr>
      <w:ind w:left="566" w:hanging="283"/>
      <w:contextualSpacing/>
    </w:pPr>
  </w:style>
  <w:style w:type="paragraph" w:styleId="List3">
    <w:name w:val="List 3"/>
    <w:basedOn w:val="Normal"/>
    <w:uiPriority w:val="99"/>
    <w:semiHidden/>
    <w:unhideWhenUsed/>
    <w:rsid w:val="00B91810"/>
    <w:pPr>
      <w:ind w:left="849" w:hanging="283"/>
      <w:contextualSpacing/>
    </w:pPr>
  </w:style>
  <w:style w:type="paragraph" w:styleId="List4">
    <w:name w:val="List 4"/>
    <w:basedOn w:val="Normal"/>
    <w:uiPriority w:val="99"/>
    <w:semiHidden/>
    <w:unhideWhenUsed/>
    <w:rsid w:val="00B91810"/>
    <w:pPr>
      <w:ind w:left="1132" w:hanging="283"/>
      <w:contextualSpacing/>
    </w:pPr>
  </w:style>
  <w:style w:type="paragraph" w:styleId="List5">
    <w:name w:val="List 5"/>
    <w:basedOn w:val="Normal"/>
    <w:uiPriority w:val="99"/>
    <w:semiHidden/>
    <w:unhideWhenUsed/>
    <w:rsid w:val="00B91810"/>
    <w:pPr>
      <w:ind w:left="1415" w:hanging="283"/>
      <w:contextualSpacing/>
    </w:pPr>
  </w:style>
  <w:style w:type="paragraph" w:styleId="ListBullet4">
    <w:name w:val="List Bullet 4"/>
    <w:basedOn w:val="Normal"/>
    <w:uiPriority w:val="99"/>
    <w:semiHidden/>
    <w:unhideWhenUsed/>
    <w:rsid w:val="00B91810"/>
    <w:pPr>
      <w:numPr>
        <w:numId w:val="6"/>
      </w:numPr>
      <w:contextualSpacing/>
    </w:pPr>
  </w:style>
  <w:style w:type="paragraph" w:styleId="ListBullet5">
    <w:name w:val="List Bullet 5"/>
    <w:basedOn w:val="Normal"/>
    <w:uiPriority w:val="99"/>
    <w:semiHidden/>
    <w:unhideWhenUsed/>
    <w:rsid w:val="00B91810"/>
    <w:pPr>
      <w:numPr>
        <w:numId w:val="7"/>
      </w:numPr>
      <w:contextualSpacing/>
    </w:pPr>
  </w:style>
  <w:style w:type="paragraph" w:styleId="ListContinue">
    <w:name w:val="List Continue"/>
    <w:basedOn w:val="Normal"/>
    <w:uiPriority w:val="99"/>
    <w:semiHidden/>
    <w:unhideWhenUsed/>
    <w:rsid w:val="00B91810"/>
    <w:pPr>
      <w:ind w:left="283"/>
      <w:contextualSpacing/>
    </w:pPr>
  </w:style>
  <w:style w:type="paragraph" w:styleId="ListContinue2">
    <w:name w:val="List Continue 2"/>
    <w:basedOn w:val="Normal"/>
    <w:uiPriority w:val="99"/>
    <w:semiHidden/>
    <w:unhideWhenUsed/>
    <w:rsid w:val="00B91810"/>
    <w:pPr>
      <w:ind w:left="566"/>
      <w:contextualSpacing/>
    </w:pPr>
  </w:style>
  <w:style w:type="paragraph" w:styleId="ListContinue3">
    <w:name w:val="List Continue 3"/>
    <w:basedOn w:val="Normal"/>
    <w:uiPriority w:val="99"/>
    <w:semiHidden/>
    <w:unhideWhenUsed/>
    <w:rsid w:val="00B91810"/>
    <w:pPr>
      <w:ind w:left="849"/>
      <w:contextualSpacing/>
    </w:pPr>
  </w:style>
  <w:style w:type="paragraph" w:styleId="ListContinue4">
    <w:name w:val="List Continue 4"/>
    <w:basedOn w:val="Normal"/>
    <w:uiPriority w:val="99"/>
    <w:semiHidden/>
    <w:unhideWhenUsed/>
    <w:rsid w:val="00B91810"/>
    <w:pPr>
      <w:ind w:left="1132"/>
      <w:contextualSpacing/>
    </w:pPr>
  </w:style>
  <w:style w:type="paragraph" w:styleId="ListContinue5">
    <w:name w:val="List Continue 5"/>
    <w:basedOn w:val="Normal"/>
    <w:uiPriority w:val="99"/>
    <w:semiHidden/>
    <w:unhideWhenUsed/>
    <w:rsid w:val="00B91810"/>
    <w:pPr>
      <w:ind w:left="1415"/>
      <w:contextualSpacing/>
    </w:pPr>
  </w:style>
  <w:style w:type="paragraph" w:styleId="ListNumber">
    <w:name w:val="List Number"/>
    <w:basedOn w:val="Normal"/>
    <w:uiPriority w:val="10"/>
    <w:unhideWhenUsed/>
    <w:qFormat/>
    <w:rsid w:val="001E76C3"/>
    <w:pPr>
      <w:numPr>
        <w:numId w:val="14"/>
      </w:numPr>
      <w:spacing w:after="0"/>
      <w:contextualSpacing/>
    </w:pPr>
  </w:style>
  <w:style w:type="paragraph" w:styleId="ListNumber2">
    <w:name w:val="List Number 2"/>
    <w:basedOn w:val="Normal"/>
    <w:uiPriority w:val="11"/>
    <w:unhideWhenUsed/>
    <w:qFormat/>
    <w:rsid w:val="001E76C3"/>
    <w:pPr>
      <w:numPr>
        <w:ilvl w:val="1"/>
        <w:numId w:val="14"/>
      </w:numPr>
      <w:spacing w:after="0"/>
      <w:contextualSpacing/>
    </w:pPr>
  </w:style>
  <w:style w:type="paragraph" w:styleId="ListNumber3">
    <w:name w:val="List Number 3"/>
    <w:basedOn w:val="Normal"/>
    <w:uiPriority w:val="12"/>
    <w:unhideWhenUsed/>
    <w:qFormat/>
    <w:rsid w:val="001E76C3"/>
    <w:pPr>
      <w:numPr>
        <w:ilvl w:val="2"/>
        <w:numId w:val="14"/>
      </w:numPr>
      <w:spacing w:after="0"/>
      <w:contextualSpacing/>
    </w:pPr>
  </w:style>
  <w:style w:type="paragraph" w:styleId="ListNumber4">
    <w:name w:val="List Number 4"/>
    <w:basedOn w:val="Normal"/>
    <w:uiPriority w:val="99"/>
    <w:semiHidden/>
    <w:unhideWhenUsed/>
    <w:rsid w:val="00B91810"/>
    <w:pPr>
      <w:numPr>
        <w:numId w:val="8"/>
      </w:numPr>
      <w:contextualSpacing/>
    </w:pPr>
  </w:style>
  <w:style w:type="paragraph" w:styleId="ListNumber5">
    <w:name w:val="List Number 5"/>
    <w:basedOn w:val="Normal"/>
    <w:uiPriority w:val="99"/>
    <w:semiHidden/>
    <w:unhideWhenUsed/>
    <w:rsid w:val="00B91810"/>
    <w:pPr>
      <w:numPr>
        <w:numId w:val="9"/>
      </w:numPr>
      <w:contextualSpacing/>
    </w:pPr>
  </w:style>
  <w:style w:type="paragraph" w:styleId="ListParagraph">
    <w:name w:val="List Paragraph"/>
    <w:basedOn w:val="Normal"/>
    <w:uiPriority w:val="34"/>
    <w:qFormat/>
    <w:rsid w:val="00B91810"/>
    <w:pPr>
      <w:ind w:left="720"/>
      <w:contextualSpacing/>
    </w:pPr>
  </w:style>
  <w:style w:type="paragraph" w:styleId="MacroText">
    <w:name w:val="macro"/>
    <w:link w:val="MacroTextChar"/>
    <w:uiPriority w:val="99"/>
    <w:semiHidden/>
    <w:unhideWhenUsed/>
    <w:rsid w:val="00B9181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91810"/>
    <w:rPr>
      <w:rFonts w:ascii="Consolas" w:hAnsi="Consolas" w:cs="Consolas"/>
      <w:sz w:val="20"/>
      <w:szCs w:val="20"/>
      <w:lang w:val="en-GB"/>
    </w:rPr>
  </w:style>
  <w:style w:type="table" w:styleId="MediumGrid1">
    <w:name w:val="Medium Grid 1"/>
    <w:basedOn w:val="TableNormal"/>
    <w:uiPriority w:val="67"/>
    <w:semiHidden/>
    <w:rsid w:val="00B9181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B91810"/>
    <w:pPr>
      <w:spacing w:after="0" w:line="240" w:lineRule="auto"/>
    </w:pPr>
    <w:tblPr>
      <w:tblStyleRowBandSize w:val="1"/>
      <w:tblStyleColBandSize w:val="1"/>
      <w:tblBorders>
        <w:top w:val="single" w:sz="8" w:space="0" w:color="A4C6D8" w:themeColor="accent1" w:themeTint="BF"/>
        <w:left w:val="single" w:sz="8" w:space="0" w:color="A4C6D8" w:themeColor="accent1" w:themeTint="BF"/>
        <w:bottom w:val="single" w:sz="8" w:space="0" w:color="A4C6D8" w:themeColor="accent1" w:themeTint="BF"/>
        <w:right w:val="single" w:sz="8" w:space="0" w:color="A4C6D8" w:themeColor="accent1" w:themeTint="BF"/>
        <w:insideH w:val="single" w:sz="8" w:space="0" w:color="A4C6D8" w:themeColor="accent1" w:themeTint="BF"/>
        <w:insideV w:val="single" w:sz="8" w:space="0" w:color="A4C6D8" w:themeColor="accent1" w:themeTint="BF"/>
      </w:tblBorders>
    </w:tblPr>
    <w:tcPr>
      <w:shd w:val="clear" w:color="auto" w:fill="E0ECF2" w:themeFill="accent1" w:themeFillTint="3F"/>
    </w:tcPr>
    <w:tblStylePr w:type="firstRow">
      <w:rPr>
        <w:b/>
        <w:bCs/>
      </w:rPr>
    </w:tblStylePr>
    <w:tblStylePr w:type="lastRow">
      <w:rPr>
        <w:b/>
        <w:bCs/>
      </w:rPr>
      <w:tblPr/>
      <w:tcPr>
        <w:tcBorders>
          <w:top w:val="single" w:sz="18" w:space="0" w:color="A4C6D8" w:themeColor="accent1" w:themeTint="BF"/>
        </w:tcBorders>
      </w:tcPr>
    </w:tblStylePr>
    <w:tblStylePr w:type="firstCol">
      <w:rPr>
        <w:b/>
        <w:bCs/>
      </w:rPr>
    </w:tblStylePr>
    <w:tblStylePr w:type="lastCol">
      <w:rPr>
        <w:b/>
        <w:bCs/>
      </w:rPr>
    </w:tblStylePr>
    <w:tblStylePr w:type="band1Vert">
      <w:tblPr/>
      <w:tcPr>
        <w:shd w:val="clear" w:color="auto" w:fill="C2D9E5" w:themeFill="accent1" w:themeFillTint="7F"/>
      </w:tcPr>
    </w:tblStylePr>
    <w:tblStylePr w:type="band1Horz">
      <w:tblPr/>
      <w:tcPr>
        <w:shd w:val="clear" w:color="auto" w:fill="C2D9E5" w:themeFill="accent1" w:themeFillTint="7F"/>
      </w:tcPr>
    </w:tblStylePr>
  </w:style>
  <w:style w:type="table" w:styleId="MediumGrid1-Accent2">
    <w:name w:val="Medium Grid 1 Accent 2"/>
    <w:basedOn w:val="TableNormal"/>
    <w:uiPriority w:val="67"/>
    <w:semiHidden/>
    <w:rsid w:val="00B91810"/>
    <w:pPr>
      <w:spacing w:after="0" w:line="240" w:lineRule="auto"/>
    </w:pPr>
    <w:tblPr>
      <w:tblStyleRowBandSize w:val="1"/>
      <w:tblStyleColBandSize w:val="1"/>
      <w:tblBorders>
        <w:top w:val="single" w:sz="8" w:space="0" w:color="AD8DB2" w:themeColor="accent2" w:themeTint="BF"/>
        <w:left w:val="single" w:sz="8" w:space="0" w:color="AD8DB2" w:themeColor="accent2" w:themeTint="BF"/>
        <w:bottom w:val="single" w:sz="8" w:space="0" w:color="AD8DB2" w:themeColor="accent2" w:themeTint="BF"/>
        <w:right w:val="single" w:sz="8" w:space="0" w:color="AD8DB2" w:themeColor="accent2" w:themeTint="BF"/>
        <w:insideH w:val="single" w:sz="8" w:space="0" w:color="AD8DB2" w:themeColor="accent2" w:themeTint="BF"/>
        <w:insideV w:val="single" w:sz="8" w:space="0" w:color="AD8DB2" w:themeColor="accent2" w:themeTint="BF"/>
      </w:tblBorders>
    </w:tblPr>
    <w:tcPr>
      <w:shd w:val="clear" w:color="auto" w:fill="E4D9E5" w:themeFill="accent2" w:themeFillTint="3F"/>
    </w:tcPr>
    <w:tblStylePr w:type="firstRow">
      <w:rPr>
        <w:b/>
        <w:bCs/>
      </w:rPr>
    </w:tblStylePr>
    <w:tblStylePr w:type="lastRow">
      <w:rPr>
        <w:b/>
        <w:bCs/>
      </w:rPr>
      <w:tblPr/>
      <w:tcPr>
        <w:tcBorders>
          <w:top w:val="single" w:sz="18" w:space="0" w:color="AD8DB2" w:themeColor="accent2" w:themeTint="BF"/>
        </w:tcBorders>
      </w:tcPr>
    </w:tblStylePr>
    <w:tblStylePr w:type="firstCol">
      <w:rPr>
        <w:b/>
        <w:bCs/>
      </w:rPr>
    </w:tblStylePr>
    <w:tblStylePr w:type="lastCol">
      <w:rPr>
        <w:b/>
        <w:bCs/>
      </w:rPr>
    </w:tblStylePr>
    <w:tblStylePr w:type="band1Vert">
      <w:tblPr/>
      <w:tcPr>
        <w:shd w:val="clear" w:color="auto" w:fill="C8B3CC" w:themeFill="accent2" w:themeFillTint="7F"/>
      </w:tcPr>
    </w:tblStylePr>
    <w:tblStylePr w:type="band1Horz">
      <w:tblPr/>
      <w:tcPr>
        <w:shd w:val="clear" w:color="auto" w:fill="C8B3CC" w:themeFill="accent2" w:themeFillTint="7F"/>
      </w:tcPr>
    </w:tblStylePr>
  </w:style>
  <w:style w:type="table" w:styleId="MediumGrid1-Accent3">
    <w:name w:val="Medium Grid 1 Accent 3"/>
    <w:basedOn w:val="TableNormal"/>
    <w:uiPriority w:val="67"/>
    <w:semiHidden/>
    <w:rsid w:val="00B91810"/>
    <w:pPr>
      <w:spacing w:after="0" w:line="240" w:lineRule="auto"/>
    </w:pPr>
    <w:tblPr>
      <w:tblStyleRowBandSize w:val="1"/>
      <w:tblStyleColBandSize w:val="1"/>
      <w:tblBorders>
        <w:top w:val="single" w:sz="8" w:space="0" w:color="9DD396" w:themeColor="accent3" w:themeTint="BF"/>
        <w:left w:val="single" w:sz="8" w:space="0" w:color="9DD396" w:themeColor="accent3" w:themeTint="BF"/>
        <w:bottom w:val="single" w:sz="8" w:space="0" w:color="9DD396" w:themeColor="accent3" w:themeTint="BF"/>
        <w:right w:val="single" w:sz="8" w:space="0" w:color="9DD396" w:themeColor="accent3" w:themeTint="BF"/>
        <w:insideH w:val="single" w:sz="8" w:space="0" w:color="9DD396" w:themeColor="accent3" w:themeTint="BF"/>
        <w:insideV w:val="single" w:sz="8" w:space="0" w:color="9DD396" w:themeColor="accent3" w:themeTint="BF"/>
      </w:tblBorders>
    </w:tblPr>
    <w:tcPr>
      <w:shd w:val="clear" w:color="auto" w:fill="DEF0DC" w:themeFill="accent3" w:themeFillTint="3F"/>
    </w:tcPr>
    <w:tblStylePr w:type="firstRow">
      <w:rPr>
        <w:b/>
        <w:bCs/>
      </w:rPr>
    </w:tblStylePr>
    <w:tblStylePr w:type="lastRow">
      <w:rPr>
        <w:b/>
        <w:bCs/>
      </w:rPr>
      <w:tblPr/>
      <w:tcPr>
        <w:tcBorders>
          <w:top w:val="single" w:sz="18" w:space="0" w:color="9DD396" w:themeColor="accent3" w:themeTint="BF"/>
        </w:tcBorders>
      </w:tcPr>
    </w:tblStylePr>
    <w:tblStylePr w:type="firstCol">
      <w:rPr>
        <w:b/>
        <w:bCs/>
      </w:rPr>
    </w:tblStylePr>
    <w:tblStylePr w:type="lastCol">
      <w:rPr>
        <w:b/>
        <w:bCs/>
      </w:rPr>
    </w:tblStylePr>
    <w:tblStylePr w:type="band1Vert">
      <w:tblPr/>
      <w:tcPr>
        <w:shd w:val="clear" w:color="auto" w:fill="BDE2B9" w:themeFill="accent3" w:themeFillTint="7F"/>
      </w:tcPr>
    </w:tblStylePr>
    <w:tblStylePr w:type="band1Horz">
      <w:tblPr/>
      <w:tcPr>
        <w:shd w:val="clear" w:color="auto" w:fill="BDE2B9" w:themeFill="accent3" w:themeFillTint="7F"/>
      </w:tcPr>
    </w:tblStylePr>
  </w:style>
  <w:style w:type="table" w:styleId="MediumGrid1-Accent4">
    <w:name w:val="Medium Grid 1 Accent 4"/>
    <w:basedOn w:val="TableNormal"/>
    <w:uiPriority w:val="67"/>
    <w:semiHidden/>
    <w:rsid w:val="00B91810"/>
    <w:pPr>
      <w:spacing w:after="0" w:line="240" w:lineRule="auto"/>
    </w:pPr>
    <w:tblPr>
      <w:tblStyleRowBandSize w:val="1"/>
      <w:tblStyleColBandSize w:val="1"/>
      <w:tblBorders>
        <w:top w:val="single" w:sz="8" w:space="0" w:color="F9B161" w:themeColor="accent4" w:themeTint="BF"/>
        <w:left w:val="single" w:sz="8" w:space="0" w:color="F9B161" w:themeColor="accent4" w:themeTint="BF"/>
        <w:bottom w:val="single" w:sz="8" w:space="0" w:color="F9B161" w:themeColor="accent4" w:themeTint="BF"/>
        <w:right w:val="single" w:sz="8" w:space="0" w:color="F9B161" w:themeColor="accent4" w:themeTint="BF"/>
        <w:insideH w:val="single" w:sz="8" w:space="0" w:color="F9B161" w:themeColor="accent4" w:themeTint="BF"/>
        <w:insideV w:val="single" w:sz="8" w:space="0" w:color="F9B161" w:themeColor="accent4" w:themeTint="BF"/>
      </w:tblBorders>
    </w:tblPr>
    <w:tcPr>
      <w:shd w:val="clear" w:color="auto" w:fill="FDE5CB" w:themeFill="accent4" w:themeFillTint="3F"/>
    </w:tcPr>
    <w:tblStylePr w:type="firstRow">
      <w:rPr>
        <w:b/>
        <w:bCs/>
      </w:rPr>
    </w:tblStylePr>
    <w:tblStylePr w:type="lastRow">
      <w:rPr>
        <w:b/>
        <w:bCs/>
      </w:rPr>
      <w:tblPr/>
      <w:tcPr>
        <w:tcBorders>
          <w:top w:val="single" w:sz="18" w:space="0" w:color="F9B161" w:themeColor="accent4" w:themeTint="BF"/>
        </w:tcBorders>
      </w:tcPr>
    </w:tblStylePr>
    <w:tblStylePr w:type="firstCol">
      <w:rPr>
        <w:b/>
        <w:bCs/>
      </w:rPr>
    </w:tblStylePr>
    <w:tblStylePr w:type="lastCol">
      <w:rPr>
        <w:b/>
        <w:bCs/>
      </w:rPr>
    </w:tblStylePr>
    <w:tblStylePr w:type="band1Vert">
      <w:tblPr/>
      <w:tcPr>
        <w:shd w:val="clear" w:color="auto" w:fill="FBCB96" w:themeFill="accent4" w:themeFillTint="7F"/>
      </w:tcPr>
    </w:tblStylePr>
    <w:tblStylePr w:type="band1Horz">
      <w:tblPr/>
      <w:tcPr>
        <w:shd w:val="clear" w:color="auto" w:fill="FBCB96" w:themeFill="accent4" w:themeFillTint="7F"/>
      </w:tcPr>
    </w:tblStylePr>
  </w:style>
  <w:style w:type="table" w:styleId="MediumGrid1-Accent5">
    <w:name w:val="Medium Grid 1 Accent 5"/>
    <w:basedOn w:val="TableNormal"/>
    <w:uiPriority w:val="67"/>
    <w:semiHidden/>
    <w:rsid w:val="00B91810"/>
    <w:pPr>
      <w:spacing w:after="0" w:line="240" w:lineRule="auto"/>
    </w:pPr>
    <w:tblPr>
      <w:tblStyleRowBandSize w:val="1"/>
      <w:tblStyleColBandSize w:val="1"/>
      <w:tblBorders>
        <w:top w:val="single" w:sz="8" w:space="0" w:color="57C4C1" w:themeColor="accent5" w:themeTint="BF"/>
        <w:left w:val="single" w:sz="8" w:space="0" w:color="57C4C1" w:themeColor="accent5" w:themeTint="BF"/>
        <w:bottom w:val="single" w:sz="8" w:space="0" w:color="57C4C1" w:themeColor="accent5" w:themeTint="BF"/>
        <w:right w:val="single" w:sz="8" w:space="0" w:color="57C4C1" w:themeColor="accent5" w:themeTint="BF"/>
        <w:insideH w:val="single" w:sz="8" w:space="0" w:color="57C4C1" w:themeColor="accent5" w:themeTint="BF"/>
        <w:insideV w:val="single" w:sz="8" w:space="0" w:color="57C4C1" w:themeColor="accent5" w:themeTint="BF"/>
      </w:tblBorders>
    </w:tblPr>
    <w:tcPr>
      <w:shd w:val="clear" w:color="auto" w:fill="C7EBEA" w:themeFill="accent5" w:themeFillTint="3F"/>
    </w:tcPr>
    <w:tblStylePr w:type="firstRow">
      <w:rPr>
        <w:b/>
        <w:bCs/>
      </w:rPr>
    </w:tblStylePr>
    <w:tblStylePr w:type="lastRow">
      <w:rPr>
        <w:b/>
        <w:bCs/>
      </w:rPr>
      <w:tblPr/>
      <w:tcPr>
        <w:tcBorders>
          <w:top w:val="single" w:sz="18" w:space="0" w:color="57C4C1" w:themeColor="accent5" w:themeTint="BF"/>
        </w:tcBorders>
      </w:tcPr>
    </w:tblStylePr>
    <w:tblStylePr w:type="firstCol">
      <w:rPr>
        <w:b/>
        <w:bCs/>
      </w:rPr>
    </w:tblStylePr>
    <w:tblStylePr w:type="lastCol">
      <w:rPr>
        <w:b/>
        <w:bCs/>
      </w:rPr>
    </w:tblStylePr>
    <w:tblStylePr w:type="band1Vert">
      <w:tblPr/>
      <w:tcPr>
        <w:shd w:val="clear" w:color="auto" w:fill="8FD8D6" w:themeFill="accent5" w:themeFillTint="7F"/>
      </w:tcPr>
    </w:tblStylePr>
    <w:tblStylePr w:type="band1Horz">
      <w:tblPr/>
      <w:tcPr>
        <w:shd w:val="clear" w:color="auto" w:fill="8FD8D6" w:themeFill="accent5" w:themeFillTint="7F"/>
      </w:tcPr>
    </w:tblStylePr>
  </w:style>
  <w:style w:type="table" w:styleId="MediumGrid1-Accent6">
    <w:name w:val="Medium Grid 1 Accent 6"/>
    <w:basedOn w:val="TableNormal"/>
    <w:uiPriority w:val="67"/>
    <w:semiHidden/>
    <w:rsid w:val="00B91810"/>
    <w:pPr>
      <w:spacing w:after="0" w:line="240" w:lineRule="auto"/>
    </w:pPr>
    <w:tblPr>
      <w:tblStyleRowBandSize w:val="1"/>
      <w:tblStyleColBandSize w:val="1"/>
      <w:tblBorders>
        <w:top w:val="single" w:sz="8" w:space="0" w:color="F2F8FB" w:themeColor="accent6" w:themeTint="BF"/>
        <w:left w:val="single" w:sz="8" w:space="0" w:color="F2F8FB" w:themeColor="accent6" w:themeTint="BF"/>
        <w:bottom w:val="single" w:sz="8" w:space="0" w:color="F2F8FB" w:themeColor="accent6" w:themeTint="BF"/>
        <w:right w:val="single" w:sz="8" w:space="0" w:color="F2F8FB" w:themeColor="accent6" w:themeTint="BF"/>
        <w:insideH w:val="single" w:sz="8" w:space="0" w:color="F2F8FB" w:themeColor="accent6" w:themeTint="BF"/>
        <w:insideV w:val="single" w:sz="8" w:space="0" w:color="F2F8FB" w:themeColor="accent6" w:themeTint="BF"/>
      </w:tblBorders>
    </w:tblPr>
    <w:tcPr>
      <w:shd w:val="clear" w:color="auto" w:fill="FAFCFD" w:themeFill="accent6" w:themeFillTint="3F"/>
    </w:tcPr>
    <w:tblStylePr w:type="firstRow">
      <w:rPr>
        <w:b/>
        <w:bCs/>
      </w:rPr>
    </w:tblStylePr>
    <w:tblStylePr w:type="lastRow">
      <w:rPr>
        <w:b/>
        <w:bCs/>
      </w:rPr>
      <w:tblPr/>
      <w:tcPr>
        <w:tcBorders>
          <w:top w:val="single" w:sz="18" w:space="0" w:color="F2F8FB" w:themeColor="accent6" w:themeTint="BF"/>
        </w:tcBorders>
      </w:tcPr>
    </w:tblStylePr>
    <w:tblStylePr w:type="firstCol">
      <w:rPr>
        <w:b/>
        <w:bCs/>
      </w:rPr>
    </w:tblStylePr>
    <w:tblStylePr w:type="lastCol">
      <w:rPr>
        <w:b/>
        <w:bCs/>
      </w:rPr>
    </w:tblStylePr>
    <w:tblStylePr w:type="band1Vert">
      <w:tblPr/>
      <w:tcPr>
        <w:shd w:val="clear" w:color="auto" w:fill="F6FAFC" w:themeFill="accent6" w:themeFillTint="7F"/>
      </w:tcPr>
    </w:tblStylePr>
    <w:tblStylePr w:type="band1Horz">
      <w:tblPr/>
      <w:tcPr>
        <w:shd w:val="clear" w:color="auto" w:fill="F6FAFC" w:themeFill="accent6" w:themeFillTint="7F"/>
      </w:tcPr>
    </w:tblStylePr>
  </w:style>
  <w:style w:type="table" w:styleId="MediumGrid2">
    <w:name w:val="Medium Grid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86B3CB" w:themeColor="accent1"/>
        <w:left w:val="single" w:sz="8" w:space="0" w:color="86B3CB" w:themeColor="accent1"/>
        <w:bottom w:val="single" w:sz="8" w:space="0" w:color="86B3CB" w:themeColor="accent1"/>
        <w:right w:val="single" w:sz="8" w:space="0" w:color="86B3CB" w:themeColor="accent1"/>
        <w:insideH w:val="single" w:sz="8" w:space="0" w:color="86B3CB" w:themeColor="accent1"/>
        <w:insideV w:val="single" w:sz="8" w:space="0" w:color="86B3CB" w:themeColor="accent1"/>
      </w:tblBorders>
    </w:tblPr>
    <w:tcPr>
      <w:shd w:val="clear" w:color="auto" w:fill="E0ECF2" w:themeFill="accent1" w:themeFillTint="3F"/>
    </w:tcPr>
    <w:tblStylePr w:type="firstRow">
      <w:rPr>
        <w:b/>
        <w:bCs/>
        <w:color w:val="000000" w:themeColor="text1"/>
      </w:rPr>
      <w:tblPr/>
      <w:tcPr>
        <w:shd w:val="clear" w:color="auto" w:fill="F3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FF4" w:themeFill="accent1" w:themeFillTint="33"/>
      </w:tcPr>
    </w:tblStylePr>
    <w:tblStylePr w:type="band1Vert">
      <w:tblPr/>
      <w:tcPr>
        <w:shd w:val="clear" w:color="auto" w:fill="C2D9E5" w:themeFill="accent1" w:themeFillTint="7F"/>
      </w:tcPr>
    </w:tblStylePr>
    <w:tblStylePr w:type="band1Horz">
      <w:tblPr/>
      <w:tcPr>
        <w:tcBorders>
          <w:insideH w:val="single" w:sz="6" w:space="0" w:color="86B3CB" w:themeColor="accent1"/>
          <w:insideV w:val="single" w:sz="6" w:space="0" w:color="86B3CB" w:themeColor="accent1"/>
        </w:tcBorders>
        <w:shd w:val="clear" w:color="auto" w:fill="C2D9E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926899" w:themeColor="accent2"/>
        <w:left w:val="single" w:sz="8" w:space="0" w:color="926899" w:themeColor="accent2"/>
        <w:bottom w:val="single" w:sz="8" w:space="0" w:color="926899" w:themeColor="accent2"/>
        <w:right w:val="single" w:sz="8" w:space="0" w:color="926899" w:themeColor="accent2"/>
        <w:insideH w:val="single" w:sz="8" w:space="0" w:color="926899" w:themeColor="accent2"/>
        <w:insideV w:val="single" w:sz="8" w:space="0" w:color="926899" w:themeColor="accent2"/>
      </w:tblBorders>
    </w:tblPr>
    <w:tcPr>
      <w:shd w:val="clear" w:color="auto" w:fill="E4D9E5" w:themeFill="accent2" w:themeFillTint="3F"/>
    </w:tcPr>
    <w:tblStylePr w:type="firstRow">
      <w:rPr>
        <w:b/>
        <w:bCs/>
        <w:color w:val="000000" w:themeColor="text1"/>
      </w:rPr>
      <w:tblPr/>
      <w:tcPr>
        <w:shd w:val="clear" w:color="auto" w:fill="F4F0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0EA" w:themeFill="accent2" w:themeFillTint="33"/>
      </w:tcPr>
    </w:tblStylePr>
    <w:tblStylePr w:type="band1Vert">
      <w:tblPr/>
      <w:tcPr>
        <w:shd w:val="clear" w:color="auto" w:fill="C8B3CC" w:themeFill="accent2" w:themeFillTint="7F"/>
      </w:tcPr>
    </w:tblStylePr>
    <w:tblStylePr w:type="band1Horz">
      <w:tblPr/>
      <w:tcPr>
        <w:tcBorders>
          <w:insideH w:val="single" w:sz="6" w:space="0" w:color="926899" w:themeColor="accent2"/>
          <w:insideV w:val="single" w:sz="6" w:space="0" w:color="926899" w:themeColor="accent2"/>
        </w:tcBorders>
        <w:shd w:val="clear" w:color="auto" w:fill="C8B3C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7DC574" w:themeColor="accent3"/>
        <w:left w:val="single" w:sz="8" w:space="0" w:color="7DC574" w:themeColor="accent3"/>
        <w:bottom w:val="single" w:sz="8" w:space="0" w:color="7DC574" w:themeColor="accent3"/>
        <w:right w:val="single" w:sz="8" w:space="0" w:color="7DC574" w:themeColor="accent3"/>
        <w:insideH w:val="single" w:sz="8" w:space="0" w:color="7DC574" w:themeColor="accent3"/>
        <w:insideV w:val="single" w:sz="8" w:space="0" w:color="7DC574" w:themeColor="accent3"/>
      </w:tblBorders>
    </w:tblPr>
    <w:tcPr>
      <w:shd w:val="clear" w:color="auto" w:fill="DEF0DC" w:themeFill="accent3" w:themeFillTint="3F"/>
    </w:tcPr>
    <w:tblStylePr w:type="firstRow">
      <w:rPr>
        <w:b/>
        <w:bCs/>
        <w:color w:val="000000" w:themeColor="text1"/>
      </w:rPr>
      <w:tblPr/>
      <w:tcPr>
        <w:shd w:val="clear" w:color="auto" w:fill="F2F9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3E3" w:themeFill="accent3" w:themeFillTint="33"/>
      </w:tcPr>
    </w:tblStylePr>
    <w:tblStylePr w:type="band1Vert">
      <w:tblPr/>
      <w:tcPr>
        <w:shd w:val="clear" w:color="auto" w:fill="BDE2B9" w:themeFill="accent3" w:themeFillTint="7F"/>
      </w:tcPr>
    </w:tblStylePr>
    <w:tblStylePr w:type="band1Horz">
      <w:tblPr/>
      <w:tcPr>
        <w:tcBorders>
          <w:insideH w:val="single" w:sz="6" w:space="0" w:color="7DC574" w:themeColor="accent3"/>
          <w:insideV w:val="single" w:sz="6" w:space="0" w:color="7DC574" w:themeColor="accent3"/>
        </w:tcBorders>
        <w:shd w:val="clear" w:color="auto" w:fill="BDE2B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F8982D" w:themeColor="accent4"/>
        <w:left w:val="single" w:sz="8" w:space="0" w:color="F8982D" w:themeColor="accent4"/>
        <w:bottom w:val="single" w:sz="8" w:space="0" w:color="F8982D" w:themeColor="accent4"/>
        <w:right w:val="single" w:sz="8" w:space="0" w:color="F8982D" w:themeColor="accent4"/>
        <w:insideH w:val="single" w:sz="8" w:space="0" w:color="F8982D" w:themeColor="accent4"/>
        <w:insideV w:val="single" w:sz="8" w:space="0" w:color="F8982D" w:themeColor="accent4"/>
      </w:tblBorders>
    </w:tblPr>
    <w:tcPr>
      <w:shd w:val="clear" w:color="auto" w:fill="FDE5CB" w:themeFill="accent4" w:themeFillTint="3F"/>
    </w:tcPr>
    <w:tblStylePr w:type="firstRow">
      <w:rPr>
        <w:b/>
        <w:bCs/>
        <w:color w:val="000000" w:themeColor="text1"/>
      </w:rPr>
      <w:tblPr/>
      <w:tcPr>
        <w:shd w:val="clear" w:color="auto" w:fill="FE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AD4" w:themeFill="accent4" w:themeFillTint="33"/>
      </w:tcPr>
    </w:tblStylePr>
    <w:tblStylePr w:type="band1Vert">
      <w:tblPr/>
      <w:tcPr>
        <w:shd w:val="clear" w:color="auto" w:fill="FBCB96" w:themeFill="accent4" w:themeFillTint="7F"/>
      </w:tcPr>
    </w:tblStylePr>
    <w:tblStylePr w:type="band1Horz">
      <w:tblPr/>
      <w:tcPr>
        <w:tcBorders>
          <w:insideH w:val="single" w:sz="6" w:space="0" w:color="F8982D" w:themeColor="accent4"/>
          <w:insideV w:val="single" w:sz="6" w:space="0" w:color="F8982D" w:themeColor="accent4"/>
        </w:tcBorders>
        <w:shd w:val="clear" w:color="auto" w:fill="FBCB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369A98" w:themeColor="accent5"/>
        <w:left w:val="single" w:sz="8" w:space="0" w:color="369A98" w:themeColor="accent5"/>
        <w:bottom w:val="single" w:sz="8" w:space="0" w:color="369A98" w:themeColor="accent5"/>
        <w:right w:val="single" w:sz="8" w:space="0" w:color="369A98" w:themeColor="accent5"/>
        <w:insideH w:val="single" w:sz="8" w:space="0" w:color="369A98" w:themeColor="accent5"/>
        <w:insideV w:val="single" w:sz="8" w:space="0" w:color="369A98" w:themeColor="accent5"/>
      </w:tblBorders>
    </w:tblPr>
    <w:tcPr>
      <w:shd w:val="clear" w:color="auto" w:fill="C7EBEA" w:themeFill="accent5" w:themeFillTint="3F"/>
    </w:tcPr>
    <w:tblStylePr w:type="firstRow">
      <w:rPr>
        <w:b/>
        <w:bCs/>
        <w:color w:val="000000" w:themeColor="text1"/>
      </w:rPr>
      <w:tblPr/>
      <w:tcPr>
        <w:shd w:val="clear" w:color="auto" w:fill="E9F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FEE" w:themeFill="accent5" w:themeFillTint="33"/>
      </w:tcPr>
    </w:tblStylePr>
    <w:tblStylePr w:type="band1Vert">
      <w:tblPr/>
      <w:tcPr>
        <w:shd w:val="clear" w:color="auto" w:fill="8FD8D6" w:themeFill="accent5" w:themeFillTint="7F"/>
      </w:tcPr>
    </w:tblStylePr>
    <w:tblStylePr w:type="band1Horz">
      <w:tblPr/>
      <w:tcPr>
        <w:tcBorders>
          <w:insideH w:val="single" w:sz="6" w:space="0" w:color="369A98" w:themeColor="accent5"/>
          <w:insideV w:val="single" w:sz="6" w:space="0" w:color="369A98" w:themeColor="accent5"/>
        </w:tcBorders>
        <w:shd w:val="clear" w:color="auto" w:fill="8FD8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EFF6FA" w:themeColor="accent6"/>
        <w:left w:val="single" w:sz="8" w:space="0" w:color="EFF6FA" w:themeColor="accent6"/>
        <w:bottom w:val="single" w:sz="8" w:space="0" w:color="EFF6FA" w:themeColor="accent6"/>
        <w:right w:val="single" w:sz="8" w:space="0" w:color="EFF6FA" w:themeColor="accent6"/>
        <w:insideH w:val="single" w:sz="8" w:space="0" w:color="EFF6FA" w:themeColor="accent6"/>
        <w:insideV w:val="single" w:sz="8" w:space="0" w:color="EFF6FA" w:themeColor="accent6"/>
      </w:tblBorders>
    </w:tblPr>
    <w:tcPr>
      <w:shd w:val="clear" w:color="auto" w:fill="FAFCFD" w:themeFill="accent6" w:themeFillTint="3F"/>
    </w:tcPr>
    <w:tblStylePr w:type="firstRow">
      <w:rPr>
        <w:b/>
        <w:bCs/>
        <w:color w:val="000000" w:themeColor="text1"/>
      </w:rPr>
      <w:tblPr/>
      <w:tcPr>
        <w:shd w:val="clear" w:color="auto" w:fill="FDFE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DFE" w:themeFill="accent6" w:themeFillTint="33"/>
      </w:tcPr>
    </w:tblStylePr>
    <w:tblStylePr w:type="band1Vert">
      <w:tblPr/>
      <w:tcPr>
        <w:shd w:val="clear" w:color="auto" w:fill="F6FAFC" w:themeFill="accent6" w:themeFillTint="7F"/>
      </w:tcPr>
    </w:tblStylePr>
    <w:tblStylePr w:type="band1Horz">
      <w:tblPr/>
      <w:tcPr>
        <w:tcBorders>
          <w:insideH w:val="single" w:sz="6" w:space="0" w:color="EFF6FA" w:themeColor="accent6"/>
          <w:insideV w:val="single" w:sz="6" w:space="0" w:color="EFF6FA" w:themeColor="accent6"/>
        </w:tcBorders>
        <w:shd w:val="clear" w:color="auto" w:fill="F6FA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C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3C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3C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3C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3C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9E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9E5" w:themeFill="accent1" w:themeFillTint="7F"/>
      </w:tcPr>
    </w:tblStylePr>
  </w:style>
  <w:style w:type="table" w:styleId="MediumGrid3-Accent2">
    <w:name w:val="Medium Grid 3 Accent 2"/>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9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689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689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689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689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B3C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B3CC" w:themeFill="accent2" w:themeFillTint="7F"/>
      </w:tcPr>
    </w:tblStylePr>
  </w:style>
  <w:style w:type="table" w:styleId="MediumGrid3-Accent3">
    <w:name w:val="Medium Grid 3 Accent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0D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C57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C57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C57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C57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2B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2B9" w:themeFill="accent3" w:themeFillTint="7F"/>
      </w:tcPr>
    </w:tblStylePr>
  </w:style>
  <w:style w:type="table" w:styleId="MediumGrid3-Accent4">
    <w:name w:val="Medium Grid 3 Accent 4"/>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82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82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82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82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B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B96" w:themeFill="accent4" w:themeFillTint="7F"/>
      </w:tcPr>
    </w:tblStylePr>
  </w:style>
  <w:style w:type="table" w:styleId="MediumGrid3-Accent5">
    <w:name w:val="Medium Grid 3 Accent 5"/>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EB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9A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9A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9A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9A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D8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D8D6" w:themeFill="accent5" w:themeFillTint="7F"/>
      </w:tcPr>
    </w:tblStylePr>
  </w:style>
  <w:style w:type="table" w:styleId="MediumGrid3-Accent6">
    <w:name w:val="Medium Grid 3 Accent 6"/>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F6F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F6F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F6F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F6F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A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AFC" w:themeFill="accent6" w:themeFillTint="7F"/>
      </w:tcPr>
    </w:tblStylePr>
  </w:style>
  <w:style w:type="table" w:styleId="MediumList1">
    <w:name w:val="Medium List 1"/>
    <w:basedOn w:val="TableNormal"/>
    <w:uiPriority w:val="65"/>
    <w:semiHidden/>
    <w:rsid w:val="00B9181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E103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B91810"/>
    <w:pPr>
      <w:spacing w:after="0" w:line="240" w:lineRule="auto"/>
    </w:pPr>
    <w:tblPr>
      <w:tblStyleRowBandSize w:val="1"/>
      <w:tblStyleColBandSize w:val="1"/>
      <w:tblBorders>
        <w:top w:val="single" w:sz="8" w:space="0" w:color="86B3CB" w:themeColor="accent1"/>
        <w:bottom w:val="single" w:sz="8" w:space="0" w:color="86B3CB" w:themeColor="accent1"/>
      </w:tblBorders>
    </w:tblPr>
    <w:tblStylePr w:type="firstRow">
      <w:rPr>
        <w:rFonts w:asciiTheme="majorHAnsi" w:eastAsiaTheme="majorEastAsia" w:hAnsiTheme="majorHAnsi" w:cstheme="majorBidi"/>
      </w:rPr>
      <w:tblPr/>
      <w:tcPr>
        <w:tcBorders>
          <w:top w:val="nil"/>
          <w:bottom w:val="single" w:sz="8" w:space="0" w:color="86B3CB" w:themeColor="accent1"/>
        </w:tcBorders>
      </w:tcPr>
    </w:tblStylePr>
    <w:tblStylePr w:type="lastRow">
      <w:rPr>
        <w:b/>
        <w:bCs/>
        <w:color w:val="AE1031" w:themeColor="text2"/>
      </w:rPr>
      <w:tblPr/>
      <w:tcPr>
        <w:tcBorders>
          <w:top w:val="single" w:sz="8" w:space="0" w:color="86B3CB" w:themeColor="accent1"/>
          <w:bottom w:val="single" w:sz="8" w:space="0" w:color="86B3CB" w:themeColor="accent1"/>
        </w:tcBorders>
      </w:tcPr>
    </w:tblStylePr>
    <w:tblStylePr w:type="firstCol">
      <w:rPr>
        <w:b/>
        <w:bCs/>
      </w:rPr>
    </w:tblStylePr>
    <w:tblStylePr w:type="lastCol">
      <w:rPr>
        <w:b/>
        <w:bCs/>
      </w:rPr>
      <w:tblPr/>
      <w:tcPr>
        <w:tcBorders>
          <w:top w:val="single" w:sz="8" w:space="0" w:color="86B3CB" w:themeColor="accent1"/>
          <w:bottom w:val="single" w:sz="8" w:space="0" w:color="86B3CB" w:themeColor="accent1"/>
        </w:tcBorders>
      </w:tcPr>
    </w:tblStylePr>
    <w:tblStylePr w:type="band1Vert">
      <w:tblPr/>
      <w:tcPr>
        <w:shd w:val="clear" w:color="auto" w:fill="E0ECF2" w:themeFill="accent1" w:themeFillTint="3F"/>
      </w:tcPr>
    </w:tblStylePr>
    <w:tblStylePr w:type="band1Horz">
      <w:tblPr/>
      <w:tcPr>
        <w:shd w:val="clear" w:color="auto" w:fill="E0ECF2" w:themeFill="accent1" w:themeFillTint="3F"/>
      </w:tcPr>
    </w:tblStylePr>
  </w:style>
  <w:style w:type="table" w:styleId="MediumList1-Accent2">
    <w:name w:val="Medium List 1 Accent 2"/>
    <w:basedOn w:val="TableNormal"/>
    <w:uiPriority w:val="65"/>
    <w:semiHidden/>
    <w:rsid w:val="00B91810"/>
    <w:pPr>
      <w:spacing w:after="0" w:line="240" w:lineRule="auto"/>
    </w:pPr>
    <w:tblPr>
      <w:tblStyleRowBandSize w:val="1"/>
      <w:tblStyleColBandSize w:val="1"/>
      <w:tblBorders>
        <w:top w:val="single" w:sz="8" w:space="0" w:color="926899" w:themeColor="accent2"/>
        <w:bottom w:val="single" w:sz="8" w:space="0" w:color="926899" w:themeColor="accent2"/>
      </w:tblBorders>
    </w:tblPr>
    <w:tblStylePr w:type="firstRow">
      <w:rPr>
        <w:rFonts w:asciiTheme="majorHAnsi" w:eastAsiaTheme="majorEastAsia" w:hAnsiTheme="majorHAnsi" w:cstheme="majorBidi"/>
      </w:rPr>
      <w:tblPr/>
      <w:tcPr>
        <w:tcBorders>
          <w:top w:val="nil"/>
          <w:bottom w:val="single" w:sz="8" w:space="0" w:color="926899" w:themeColor="accent2"/>
        </w:tcBorders>
      </w:tcPr>
    </w:tblStylePr>
    <w:tblStylePr w:type="lastRow">
      <w:rPr>
        <w:b/>
        <w:bCs/>
        <w:color w:val="AE1031" w:themeColor="text2"/>
      </w:rPr>
      <w:tblPr/>
      <w:tcPr>
        <w:tcBorders>
          <w:top w:val="single" w:sz="8" w:space="0" w:color="926899" w:themeColor="accent2"/>
          <w:bottom w:val="single" w:sz="8" w:space="0" w:color="926899" w:themeColor="accent2"/>
        </w:tcBorders>
      </w:tcPr>
    </w:tblStylePr>
    <w:tblStylePr w:type="firstCol">
      <w:rPr>
        <w:b/>
        <w:bCs/>
      </w:rPr>
    </w:tblStylePr>
    <w:tblStylePr w:type="lastCol">
      <w:rPr>
        <w:b/>
        <w:bCs/>
      </w:rPr>
      <w:tblPr/>
      <w:tcPr>
        <w:tcBorders>
          <w:top w:val="single" w:sz="8" w:space="0" w:color="926899" w:themeColor="accent2"/>
          <w:bottom w:val="single" w:sz="8" w:space="0" w:color="926899" w:themeColor="accent2"/>
        </w:tcBorders>
      </w:tcPr>
    </w:tblStylePr>
    <w:tblStylePr w:type="band1Vert">
      <w:tblPr/>
      <w:tcPr>
        <w:shd w:val="clear" w:color="auto" w:fill="E4D9E5" w:themeFill="accent2" w:themeFillTint="3F"/>
      </w:tcPr>
    </w:tblStylePr>
    <w:tblStylePr w:type="band1Horz">
      <w:tblPr/>
      <w:tcPr>
        <w:shd w:val="clear" w:color="auto" w:fill="E4D9E5" w:themeFill="accent2" w:themeFillTint="3F"/>
      </w:tcPr>
    </w:tblStylePr>
  </w:style>
  <w:style w:type="table" w:styleId="MediumList1-Accent3">
    <w:name w:val="Medium List 1 Accent 3"/>
    <w:basedOn w:val="TableNormal"/>
    <w:uiPriority w:val="65"/>
    <w:semiHidden/>
    <w:rsid w:val="00B91810"/>
    <w:pPr>
      <w:spacing w:after="0" w:line="240" w:lineRule="auto"/>
    </w:pPr>
    <w:tblPr>
      <w:tblStyleRowBandSize w:val="1"/>
      <w:tblStyleColBandSize w:val="1"/>
      <w:tblBorders>
        <w:top w:val="single" w:sz="8" w:space="0" w:color="7DC574" w:themeColor="accent3"/>
        <w:bottom w:val="single" w:sz="8" w:space="0" w:color="7DC574" w:themeColor="accent3"/>
      </w:tblBorders>
    </w:tblPr>
    <w:tblStylePr w:type="firstRow">
      <w:rPr>
        <w:rFonts w:asciiTheme="majorHAnsi" w:eastAsiaTheme="majorEastAsia" w:hAnsiTheme="majorHAnsi" w:cstheme="majorBidi"/>
      </w:rPr>
      <w:tblPr/>
      <w:tcPr>
        <w:tcBorders>
          <w:top w:val="nil"/>
          <w:bottom w:val="single" w:sz="8" w:space="0" w:color="7DC574" w:themeColor="accent3"/>
        </w:tcBorders>
      </w:tcPr>
    </w:tblStylePr>
    <w:tblStylePr w:type="lastRow">
      <w:rPr>
        <w:b/>
        <w:bCs/>
        <w:color w:val="AE1031" w:themeColor="text2"/>
      </w:rPr>
      <w:tblPr/>
      <w:tcPr>
        <w:tcBorders>
          <w:top w:val="single" w:sz="8" w:space="0" w:color="7DC574" w:themeColor="accent3"/>
          <w:bottom w:val="single" w:sz="8" w:space="0" w:color="7DC574" w:themeColor="accent3"/>
        </w:tcBorders>
      </w:tcPr>
    </w:tblStylePr>
    <w:tblStylePr w:type="firstCol">
      <w:rPr>
        <w:b/>
        <w:bCs/>
      </w:rPr>
    </w:tblStylePr>
    <w:tblStylePr w:type="lastCol">
      <w:rPr>
        <w:b/>
        <w:bCs/>
      </w:rPr>
      <w:tblPr/>
      <w:tcPr>
        <w:tcBorders>
          <w:top w:val="single" w:sz="8" w:space="0" w:color="7DC574" w:themeColor="accent3"/>
          <w:bottom w:val="single" w:sz="8" w:space="0" w:color="7DC574" w:themeColor="accent3"/>
        </w:tcBorders>
      </w:tcPr>
    </w:tblStylePr>
    <w:tblStylePr w:type="band1Vert">
      <w:tblPr/>
      <w:tcPr>
        <w:shd w:val="clear" w:color="auto" w:fill="DEF0DC" w:themeFill="accent3" w:themeFillTint="3F"/>
      </w:tcPr>
    </w:tblStylePr>
    <w:tblStylePr w:type="band1Horz">
      <w:tblPr/>
      <w:tcPr>
        <w:shd w:val="clear" w:color="auto" w:fill="DEF0DC" w:themeFill="accent3" w:themeFillTint="3F"/>
      </w:tcPr>
    </w:tblStylePr>
  </w:style>
  <w:style w:type="table" w:styleId="MediumList1-Accent4">
    <w:name w:val="Medium List 1 Accent 4"/>
    <w:basedOn w:val="TableNormal"/>
    <w:uiPriority w:val="65"/>
    <w:semiHidden/>
    <w:rsid w:val="00B91810"/>
    <w:pPr>
      <w:spacing w:after="0" w:line="240" w:lineRule="auto"/>
    </w:pPr>
    <w:tblPr>
      <w:tblStyleRowBandSize w:val="1"/>
      <w:tblStyleColBandSize w:val="1"/>
      <w:tblBorders>
        <w:top w:val="single" w:sz="8" w:space="0" w:color="F8982D" w:themeColor="accent4"/>
        <w:bottom w:val="single" w:sz="8" w:space="0" w:color="F8982D" w:themeColor="accent4"/>
      </w:tblBorders>
    </w:tblPr>
    <w:tblStylePr w:type="firstRow">
      <w:rPr>
        <w:rFonts w:asciiTheme="majorHAnsi" w:eastAsiaTheme="majorEastAsia" w:hAnsiTheme="majorHAnsi" w:cstheme="majorBidi"/>
      </w:rPr>
      <w:tblPr/>
      <w:tcPr>
        <w:tcBorders>
          <w:top w:val="nil"/>
          <w:bottom w:val="single" w:sz="8" w:space="0" w:color="F8982D" w:themeColor="accent4"/>
        </w:tcBorders>
      </w:tcPr>
    </w:tblStylePr>
    <w:tblStylePr w:type="lastRow">
      <w:rPr>
        <w:b/>
        <w:bCs/>
        <w:color w:val="AE1031" w:themeColor="text2"/>
      </w:rPr>
      <w:tblPr/>
      <w:tcPr>
        <w:tcBorders>
          <w:top w:val="single" w:sz="8" w:space="0" w:color="F8982D" w:themeColor="accent4"/>
          <w:bottom w:val="single" w:sz="8" w:space="0" w:color="F8982D" w:themeColor="accent4"/>
        </w:tcBorders>
      </w:tcPr>
    </w:tblStylePr>
    <w:tblStylePr w:type="firstCol">
      <w:rPr>
        <w:b/>
        <w:bCs/>
      </w:rPr>
    </w:tblStylePr>
    <w:tblStylePr w:type="lastCol">
      <w:rPr>
        <w:b/>
        <w:bCs/>
      </w:rPr>
      <w:tblPr/>
      <w:tcPr>
        <w:tcBorders>
          <w:top w:val="single" w:sz="8" w:space="0" w:color="F8982D" w:themeColor="accent4"/>
          <w:bottom w:val="single" w:sz="8" w:space="0" w:color="F8982D" w:themeColor="accent4"/>
        </w:tcBorders>
      </w:tcPr>
    </w:tblStylePr>
    <w:tblStylePr w:type="band1Vert">
      <w:tblPr/>
      <w:tcPr>
        <w:shd w:val="clear" w:color="auto" w:fill="FDE5CB" w:themeFill="accent4" w:themeFillTint="3F"/>
      </w:tcPr>
    </w:tblStylePr>
    <w:tblStylePr w:type="band1Horz">
      <w:tblPr/>
      <w:tcPr>
        <w:shd w:val="clear" w:color="auto" w:fill="FDE5CB" w:themeFill="accent4" w:themeFillTint="3F"/>
      </w:tcPr>
    </w:tblStylePr>
  </w:style>
  <w:style w:type="table" w:styleId="MediumList1-Accent5">
    <w:name w:val="Medium List 1 Accent 5"/>
    <w:basedOn w:val="TableNormal"/>
    <w:uiPriority w:val="65"/>
    <w:semiHidden/>
    <w:rsid w:val="00B91810"/>
    <w:pPr>
      <w:spacing w:after="0" w:line="240" w:lineRule="auto"/>
    </w:pPr>
    <w:tblPr>
      <w:tblStyleRowBandSize w:val="1"/>
      <w:tblStyleColBandSize w:val="1"/>
      <w:tblBorders>
        <w:top w:val="single" w:sz="8" w:space="0" w:color="369A98" w:themeColor="accent5"/>
        <w:bottom w:val="single" w:sz="8" w:space="0" w:color="369A98" w:themeColor="accent5"/>
      </w:tblBorders>
    </w:tblPr>
    <w:tblStylePr w:type="firstRow">
      <w:rPr>
        <w:rFonts w:asciiTheme="majorHAnsi" w:eastAsiaTheme="majorEastAsia" w:hAnsiTheme="majorHAnsi" w:cstheme="majorBidi"/>
      </w:rPr>
      <w:tblPr/>
      <w:tcPr>
        <w:tcBorders>
          <w:top w:val="nil"/>
          <w:bottom w:val="single" w:sz="8" w:space="0" w:color="369A98" w:themeColor="accent5"/>
        </w:tcBorders>
      </w:tcPr>
    </w:tblStylePr>
    <w:tblStylePr w:type="lastRow">
      <w:rPr>
        <w:b/>
        <w:bCs/>
        <w:color w:val="AE1031" w:themeColor="text2"/>
      </w:rPr>
      <w:tblPr/>
      <w:tcPr>
        <w:tcBorders>
          <w:top w:val="single" w:sz="8" w:space="0" w:color="369A98" w:themeColor="accent5"/>
          <w:bottom w:val="single" w:sz="8" w:space="0" w:color="369A98" w:themeColor="accent5"/>
        </w:tcBorders>
      </w:tcPr>
    </w:tblStylePr>
    <w:tblStylePr w:type="firstCol">
      <w:rPr>
        <w:b/>
        <w:bCs/>
      </w:rPr>
    </w:tblStylePr>
    <w:tblStylePr w:type="lastCol">
      <w:rPr>
        <w:b/>
        <w:bCs/>
      </w:rPr>
      <w:tblPr/>
      <w:tcPr>
        <w:tcBorders>
          <w:top w:val="single" w:sz="8" w:space="0" w:color="369A98" w:themeColor="accent5"/>
          <w:bottom w:val="single" w:sz="8" w:space="0" w:color="369A98" w:themeColor="accent5"/>
        </w:tcBorders>
      </w:tcPr>
    </w:tblStylePr>
    <w:tblStylePr w:type="band1Vert">
      <w:tblPr/>
      <w:tcPr>
        <w:shd w:val="clear" w:color="auto" w:fill="C7EBEA" w:themeFill="accent5" w:themeFillTint="3F"/>
      </w:tcPr>
    </w:tblStylePr>
    <w:tblStylePr w:type="band1Horz">
      <w:tblPr/>
      <w:tcPr>
        <w:shd w:val="clear" w:color="auto" w:fill="C7EBEA" w:themeFill="accent5" w:themeFillTint="3F"/>
      </w:tcPr>
    </w:tblStylePr>
  </w:style>
  <w:style w:type="table" w:styleId="MediumList1-Accent6">
    <w:name w:val="Medium List 1 Accent 6"/>
    <w:basedOn w:val="TableNormal"/>
    <w:uiPriority w:val="65"/>
    <w:semiHidden/>
    <w:rsid w:val="00B91810"/>
    <w:pPr>
      <w:spacing w:after="0" w:line="240" w:lineRule="auto"/>
    </w:pPr>
    <w:tblPr>
      <w:tblStyleRowBandSize w:val="1"/>
      <w:tblStyleColBandSize w:val="1"/>
      <w:tblBorders>
        <w:top w:val="single" w:sz="8" w:space="0" w:color="EFF6FA" w:themeColor="accent6"/>
        <w:bottom w:val="single" w:sz="8" w:space="0" w:color="EFF6FA" w:themeColor="accent6"/>
      </w:tblBorders>
    </w:tblPr>
    <w:tblStylePr w:type="firstRow">
      <w:rPr>
        <w:rFonts w:asciiTheme="majorHAnsi" w:eastAsiaTheme="majorEastAsia" w:hAnsiTheme="majorHAnsi" w:cstheme="majorBidi"/>
      </w:rPr>
      <w:tblPr/>
      <w:tcPr>
        <w:tcBorders>
          <w:top w:val="nil"/>
          <w:bottom w:val="single" w:sz="8" w:space="0" w:color="EFF6FA" w:themeColor="accent6"/>
        </w:tcBorders>
      </w:tcPr>
    </w:tblStylePr>
    <w:tblStylePr w:type="lastRow">
      <w:rPr>
        <w:b/>
        <w:bCs/>
        <w:color w:val="AE1031" w:themeColor="text2"/>
      </w:rPr>
      <w:tblPr/>
      <w:tcPr>
        <w:tcBorders>
          <w:top w:val="single" w:sz="8" w:space="0" w:color="EFF6FA" w:themeColor="accent6"/>
          <w:bottom w:val="single" w:sz="8" w:space="0" w:color="EFF6FA" w:themeColor="accent6"/>
        </w:tcBorders>
      </w:tcPr>
    </w:tblStylePr>
    <w:tblStylePr w:type="firstCol">
      <w:rPr>
        <w:b/>
        <w:bCs/>
      </w:rPr>
    </w:tblStylePr>
    <w:tblStylePr w:type="lastCol">
      <w:rPr>
        <w:b/>
        <w:bCs/>
      </w:rPr>
      <w:tblPr/>
      <w:tcPr>
        <w:tcBorders>
          <w:top w:val="single" w:sz="8" w:space="0" w:color="EFF6FA" w:themeColor="accent6"/>
          <w:bottom w:val="single" w:sz="8" w:space="0" w:color="EFF6FA" w:themeColor="accent6"/>
        </w:tcBorders>
      </w:tcPr>
    </w:tblStylePr>
    <w:tblStylePr w:type="band1Vert">
      <w:tblPr/>
      <w:tcPr>
        <w:shd w:val="clear" w:color="auto" w:fill="FAFCFD" w:themeFill="accent6" w:themeFillTint="3F"/>
      </w:tcPr>
    </w:tblStylePr>
    <w:tblStylePr w:type="band1Horz">
      <w:tblPr/>
      <w:tcPr>
        <w:shd w:val="clear" w:color="auto" w:fill="FAFCFD" w:themeFill="accent6" w:themeFillTint="3F"/>
      </w:tcPr>
    </w:tblStylePr>
  </w:style>
  <w:style w:type="table" w:styleId="MediumList2">
    <w:name w:val="Medium Lis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86B3CB" w:themeColor="accent1"/>
        <w:left w:val="single" w:sz="8" w:space="0" w:color="86B3CB" w:themeColor="accent1"/>
        <w:bottom w:val="single" w:sz="8" w:space="0" w:color="86B3CB" w:themeColor="accent1"/>
        <w:right w:val="single" w:sz="8" w:space="0" w:color="86B3CB" w:themeColor="accent1"/>
      </w:tblBorders>
    </w:tblPr>
    <w:tblStylePr w:type="firstRow">
      <w:rPr>
        <w:sz w:val="24"/>
        <w:szCs w:val="24"/>
      </w:rPr>
      <w:tblPr/>
      <w:tcPr>
        <w:tcBorders>
          <w:top w:val="nil"/>
          <w:left w:val="nil"/>
          <w:bottom w:val="single" w:sz="24" w:space="0" w:color="86B3CB" w:themeColor="accent1"/>
          <w:right w:val="nil"/>
          <w:insideH w:val="nil"/>
          <w:insideV w:val="nil"/>
        </w:tcBorders>
        <w:shd w:val="clear" w:color="auto" w:fill="FFFFFF" w:themeFill="background1"/>
      </w:tcPr>
    </w:tblStylePr>
    <w:tblStylePr w:type="lastRow">
      <w:tblPr/>
      <w:tcPr>
        <w:tcBorders>
          <w:top w:val="single" w:sz="8" w:space="0" w:color="86B3C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3CB" w:themeColor="accent1"/>
          <w:insideH w:val="nil"/>
          <w:insideV w:val="nil"/>
        </w:tcBorders>
        <w:shd w:val="clear" w:color="auto" w:fill="FFFFFF" w:themeFill="background1"/>
      </w:tcPr>
    </w:tblStylePr>
    <w:tblStylePr w:type="lastCol">
      <w:tblPr/>
      <w:tcPr>
        <w:tcBorders>
          <w:top w:val="nil"/>
          <w:left w:val="single" w:sz="8" w:space="0" w:color="86B3C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CF2" w:themeFill="accent1" w:themeFillTint="3F"/>
      </w:tcPr>
    </w:tblStylePr>
    <w:tblStylePr w:type="band1Horz">
      <w:tblPr/>
      <w:tcPr>
        <w:tcBorders>
          <w:top w:val="nil"/>
          <w:bottom w:val="nil"/>
          <w:insideH w:val="nil"/>
          <w:insideV w:val="nil"/>
        </w:tcBorders>
        <w:shd w:val="clear" w:color="auto" w:fill="E0EC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926899" w:themeColor="accent2"/>
        <w:left w:val="single" w:sz="8" w:space="0" w:color="926899" w:themeColor="accent2"/>
        <w:bottom w:val="single" w:sz="8" w:space="0" w:color="926899" w:themeColor="accent2"/>
        <w:right w:val="single" w:sz="8" w:space="0" w:color="926899" w:themeColor="accent2"/>
      </w:tblBorders>
    </w:tblPr>
    <w:tblStylePr w:type="firstRow">
      <w:rPr>
        <w:sz w:val="24"/>
        <w:szCs w:val="24"/>
      </w:rPr>
      <w:tblPr/>
      <w:tcPr>
        <w:tcBorders>
          <w:top w:val="nil"/>
          <w:left w:val="nil"/>
          <w:bottom w:val="single" w:sz="24" w:space="0" w:color="926899" w:themeColor="accent2"/>
          <w:right w:val="nil"/>
          <w:insideH w:val="nil"/>
          <w:insideV w:val="nil"/>
        </w:tcBorders>
        <w:shd w:val="clear" w:color="auto" w:fill="FFFFFF" w:themeFill="background1"/>
      </w:tcPr>
    </w:tblStylePr>
    <w:tblStylePr w:type="lastRow">
      <w:tblPr/>
      <w:tcPr>
        <w:tcBorders>
          <w:top w:val="single" w:sz="8" w:space="0" w:color="92689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6899" w:themeColor="accent2"/>
          <w:insideH w:val="nil"/>
          <w:insideV w:val="nil"/>
        </w:tcBorders>
        <w:shd w:val="clear" w:color="auto" w:fill="FFFFFF" w:themeFill="background1"/>
      </w:tcPr>
    </w:tblStylePr>
    <w:tblStylePr w:type="lastCol">
      <w:tblPr/>
      <w:tcPr>
        <w:tcBorders>
          <w:top w:val="nil"/>
          <w:left w:val="single" w:sz="8" w:space="0" w:color="92689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9E5" w:themeFill="accent2" w:themeFillTint="3F"/>
      </w:tcPr>
    </w:tblStylePr>
    <w:tblStylePr w:type="band1Horz">
      <w:tblPr/>
      <w:tcPr>
        <w:tcBorders>
          <w:top w:val="nil"/>
          <w:bottom w:val="nil"/>
          <w:insideH w:val="nil"/>
          <w:insideV w:val="nil"/>
        </w:tcBorders>
        <w:shd w:val="clear" w:color="auto" w:fill="E4D9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7DC574" w:themeColor="accent3"/>
        <w:left w:val="single" w:sz="8" w:space="0" w:color="7DC574" w:themeColor="accent3"/>
        <w:bottom w:val="single" w:sz="8" w:space="0" w:color="7DC574" w:themeColor="accent3"/>
        <w:right w:val="single" w:sz="8" w:space="0" w:color="7DC574" w:themeColor="accent3"/>
      </w:tblBorders>
    </w:tblPr>
    <w:tblStylePr w:type="firstRow">
      <w:rPr>
        <w:sz w:val="24"/>
        <w:szCs w:val="24"/>
      </w:rPr>
      <w:tblPr/>
      <w:tcPr>
        <w:tcBorders>
          <w:top w:val="nil"/>
          <w:left w:val="nil"/>
          <w:bottom w:val="single" w:sz="24" w:space="0" w:color="7DC574" w:themeColor="accent3"/>
          <w:right w:val="nil"/>
          <w:insideH w:val="nil"/>
          <w:insideV w:val="nil"/>
        </w:tcBorders>
        <w:shd w:val="clear" w:color="auto" w:fill="FFFFFF" w:themeFill="background1"/>
      </w:tcPr>
    </w:tblStylePr>
    <w:tblStylePr w:type="lastRow">
      <w:tblPr/>
      <w:tcPr>
        <w:tcBorders>
          <w:top w:val="single" w:sz="8" w:space="0" w:color="7DC57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C574" w:themeColor="accent3"/>
          <w:insideH w:val="nil"/>
          <w:insideV w:val="nil"/>
        </w:tcBorders>
        <w:shd w:val="clear" w:color="auto" w:fill="FFFFFF" w:themeFill="background1"/>
      </w:tcPr>
    </w:tblStylePr>
    <w:tblStylePr w:type="lastCol">
      <w:tblPr/>
      <w:tcPr>
        <w:tcBorders>
          <w:top w:val="nil"/>
          <w:left w:val="single" w:sz="8" w:space="0" w:color="7DC57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0DC" w:themeFill="accent3" w:themeFillTint="3F"/>
      </w:tcPr>
    </w:tblStylePr>
    <w:tblStylePr w:type="band1Horz">
      <w:tblPr/>
      <w:tcPr>
        <w:tcBorders>
          <w:top w:val="nil"/>
          <w:bottom w:val="nil"/>
          <w:insideH w:val="nil"/>
          <w:insideV w:val="nil"/>
        </w:tcBorders>
        <w:shd w:val="clear" w:color="auto" w:fill="DEF0D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F8982D" w:themeColor="accent4"/>
        <w:left w:val="single" w:sz="8" w:space="0" w:color="F8982D" w:themeColor="accent4"/>
        <w:bottom w:val="single" w:sz="8" w:space="0" w:color="F8982D" w:themeColor="accent4"/>
        <w:right w:val="single" w:sz="8" w:space="0" w:color="F8982D" w:themeColor="accent4"/>
      </w:tblBorders>
    </w:tblPr>
    <w:tblStylePr w:type="firstRow">
      <w:rPr>
        <w:sz w:val="24"/>
        <w:szCs w:val="24"/>
      </w:rPr>
      <w:tblPr/>
      <w:tcPr>
        <w:tcBorders>
          <w:top w:val="nil"/>
          <w:left w:val="nil"/>
          <w:bottom w:val="single" w:sz="24" w:space="0" w:color="F8982D" w:themeColor="accent4"/>
          <w:right w:val="nil"/>
          <w:insideH w:val="nil"/>
          <w:insideV w:val="nil"/>
        </w:tcBorders>
        <w:shd w:val="clear" w:color="auto" w:fill="FFFFFF" w:themeFill="background1"/>
      </w:tcPr>
    </w:tblStylePr>
    <w:tblStylePr w:type="lastRow">
      <w:tblPr/>
      <w:tcPr>
        <w:tcBorders>
          <w:top w:val="single" w:sz="8" w:space="0" w:color="F8982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82D" w:themeColor="accent4"/>
          <w:insideH w:val="nil"/>
          <w:insideV w:val="nil"/>
        </w:tcBorders>
        <w:shd w:val="clear" w:color="auto" w:fill="FFFFFF" w:themeFill="background1"/>
      </w:tcPr>
    </w:tblStylePr>
    <w:tblStylePr w:type="lastCol">
      <w:tblPr/>
      <w:tcPr>
        <w:tcBorders>
          <w:top w:val="nil"/>
          <w:left w:val="single" w:sz="8" w:space="0" w:color="F8982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B" w:themeFill="accent4" w:themeFillTint="3F"/>
      </w:tcPr>
    </w:tblStylePr>
    <w:tblStylePr w:type="band1Horz">
      <w:tblPr/>
      <w:tcPr>
        <w:tcBorders>
          <w:top w:val="nil"/>
          <w:bottom w:val="nil"/>
          <w:insideH w:val="nil"/>
          <w:insideV w:val="nil"/>
        </w:tcBorders>
        <w:shd w:val="clear" w:color="auto" w:fill="FD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369A98" w:themeColor="accent5"/>
        <w:left w:val="single" w:sz="8" w:space="0" w:color="369A98" w:themeColor="accent5"/>
        <w:bottom w:val="single" w:sz="8" w:space="0" w:color="369A98" w:themeColor="accent5"/>
        <w:right w:val="single" w:sz="8" w:space="0" w:color="369A98" w:themeColor="accent5"/>
      </w:tblBorders>
    </w:tblPr>
    <w:tblStylePr w:type="firstRow">
      <w:rPr>
        <w:sz w:val="24"/>
        <w:szCs w:val="24"/>
      </w:rPr>
      <w:tblPr/>
      <w:tcPr>
        <w:tcBorders>
          <w:top w:val="nil"/>
          <w:left w:val="nil"/>
          <w:bottom w:val="single" w:sz="24" w:space="0" w:color="369A98" w:themeColor="accent5"/>
          <w:right w:val="nil"/>
          <w:insideH w:val="nil"/>
          <w:insideV w:val="nil"/>
        </w:tcBorders>
        <w:shd w:val="clear" w:color="auto" w:fill="FFFFFF" w:themeFill="background1"/>
      </w:tcPr>
    </w:tblStylePr>
    <w:tblStylePr w:type="lastRow">
      <w:tblPr/>
      <w:tcPr>
        <w:tcBorders>
          <w:top w:val="single" w:sz="8" w:space="0" w:color="369A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9A98" w:themeColor="accent5"/>
          <w:insideH w:val="nil"/>
          <w:insideV w:val="nil"/>
        </w:tcBorders>
        <w:shd w:val="clear" w:color="auto" w:fill="FFFFFF" w:themeFill="background1"/>
      </w:tcPr>
    </w:tblStylePr>
    <w:tblStylePr w:type="lastCol">
      <w:tblPr/>
      <w:tcPr>
        <w:tcBorders>
          <w:top w:val="nil"/>
          <w:left w:val="single" w:sz="8" w:space="0" w:color="369A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EBEA" w:themeFill="accent5" w:themeFillTint="3F"/>
      </w:tcPr>
    </w:tblStylePr>
    <w:tblStylePr w:type="band1Horz">
      <w:tblPr/>
      <w:tcPr>
        <w:tcBorders>
          <w:top w:val="nil"/>
          <w:bottom w:val="nil"/>
          <w:insideH w:val="nil"/>
          <w:insideV w:val="nil"/>
        </w:tcBorders>
        <w:shd w:val="clear" w:color="auto" w:fill="C7EB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EFF6FA" w:themeColor="accent6"/>
        <w:left w:val="single" w:sz="8" w:space="0" w:color="EFF6FA" w:themeColor="accent6"/>
        <w:bottom w:val="single" w:sz="8" w:space="0" w:color="EFF6FA" w:themeColor="accent6"/>
        <w:right w:val="single" w:sz="8" w:space="0" w:color="EFF6FA" w:themeColor="accent6"/>
      </w:tblBorders>
    </w:tblPr>
    <w:tblStylePr w:type="firstRow">
      <w:rPr>
        <w:sz w:val="24"/>
        <w:szCs w:val="24"/>
      </w:rPr>
      <w:tblPr/>
      <w:tcPr>
        <w:tcBorders>
          <w:top w:val="nil"/>
          <w:left w:val="nil"/>
          <w:bottom w:val="single" w:sz="24" w:space="0" w:color="EFF6FA" w:themeColor="accent6"/>
          <w:right w:val="nil"/>
          <w:insideH w:val="nil"/>
          <w:insideV w:val="nil"/>
        </w:tcBorders>
        <w:shd w:val="clear" w:color="auto" w:fill="FFFFFF" w:themeFill="background1"/>
      </w:tcPr>
    </w:tblStylePr>
    <w:tblStylePr w:type="lastRow">
      <w:tblPr/>
      <w:tcPr>
        <w:tcBorders>
          <w:top w:val="single" w:sz="8" w:space="0" w:color="EFF6F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F6FA" w:themeColor="accent6"/>
          <w:insideH w:val="nil"/>
          <w:insideV w:val="nil"/>
        </w:tcBorders>
        <w:shd w:val="clear" w:color="auto" w:fill="FFFFFF" w:themeFill="background1"/>
      </w:tcPr>
    </w:tblStylePr>
    <w:tblStylePr w:type="lastCol">
      <w:tblPr/>
      <w:tcPr>
        <w:tcBorders>
          <w:top w:val="nil"/>
          <w:left w:val="single" w:sz="8" w:space="0" w:color="EFF6F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D" w:themeFill="accent6" w:themeFillTint="3F"/>
      </w:tcPr>
    </w:tblStylePr>
    <w:tblStylePr w:type="band1Horz">
      <w:tblPr/>
      <w:tcPr>
        <w:tcBorders>
          <w:top w:val="nil"/>
          <w:bottom w:val="nil"/>
          <w:insideH w:val="nil"/>
          <w:insideV w:val="nil"/>
        </w:tcBorders>
        <w:shd w:val="clear" w:color="auto" w:fill="FAFC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9181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91810"/>
    <w:pPr>
      <w:spacing w:after="0" w:line="240" w:lineRule="auto"/>
    </w:pPr>
    <w:tblPr>
      <w:tblStyleRowBandSize w:val="1"/>
      <w:tblStyleColBandSize w:val="1"/>
      <w:tblBorders>
        <w:top w:val="single" w:sz="8" w:space="0" w:color="A4C6D8" w:themeColor="accent1" w:themeTint="BF"/>
        <w:left w:val="single" w:sz="8" w:space="0" w:color="A4C6D8" w:themeColor="accent1" w:themeTint="BF"/>
        <w:bottom w:val="single" w:sz="8" w:space="0" w:color="A4C6D8" w:themeColor="accent1" w:themeTint="BF"/>
        <w:right w:val="single" w:sz="8" w:space="0" w:color="A4C6D8" w:themeColor="accent1" w:themeTint="BF"/>
        <w:insideH w:val="single" w:sz="8" w:space="0" w:color="A4C6D8" w:themeColor="accent1" w:themeTint="BF"/>
      </w:tblBorders>
    </w:tblPr>
    <w:tblStylePr w:type="firstRow">
      <w:pPr>
        <w:spacing w:before="0" w:after="0" w:line="240" w:lineRule="auto"/>
      </w:pPr>
      <w:rPr>
        <w:b/>
        <w:bCs/>
        <w:color w:val="FFFFFF" w:themeColor="background1"/>
      </w:rPr>
      <w:tblPr/>
      <w:tcPr>
        <w:tcBorders>
          <w:top w:val="single" w:sz="8" w:space="0" w:color="A4C6D8" w:themeColor="accent1" w:themeTint="BF"/>
          <w:left w:val="single" w:sz="8" w:space="0" w:color="A4C6D8" w:themeColor="accent1" w:themeTint="BF"/>
          <w:bottom w:val="single" w:sz="8" w:space="0" w:color="A4C6D8" w:themeColor="accent1" w:themeTint="BF"/>
          <w:right w:val="single" w:sz="8" w:space="0" w:color="A4C6D8" w:themeColor="accent1" w:themeTint="BF"/>
          <w:insideH w:val="nil"/>
          <w:insideV w:val="nil"/>
        </w:tcBorders>
        <w:shd w:val="clear" w:color="auto" w:fill="86B3CB" w:themeFill="accent1"/>
      </w:tcPr>
    </w:tblStylePr>
    <w:tblStylePr w:type="lastRow">
      <w:pPr>
        <w:spacing w:before="0" w:after="0" w:line="240" w:lineRule="auto"/>
      </w:pPr>
      <w:rPr>
        <w:b/>
        <w:bCs/>
      </w:rPr>
      <w:tblPr/>
      <w:tcPr>
        <w:tcBorders>
          <w:top w:val="double" w:sz="6" w:space="0" w:color="A4C6D8" w:themeColor="accent1" w:themeTint="BF"/>
          <w:left w:val="single" w:sz="8" w:space="0" w:color="A4C6D8" w:themeColor="accent1" w:themeTint="BF"/>
          <w:bottom w:val="single" w:sz="8" w:space="0" w:color="A4C6D8" w:themeColor="accent1" w:themeTint="BF"/>
          <w:right w:val="single" w:sz="8" w:space="0" w:color="A4C6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E0ECF2" w:themeFill="accent1" w:themeFillTint="3F"/>
      </w:tcPr>
    </w:tblStylePr>
    <w:tblStylePr w:type="band1Horz">
      <w:tblPr/>
      <w:tcPr>
        <w:tcBorders>
          <w:insideH w:val="nil"/>
          <w:insideV w:val="nil"/>
        </w:tcBorders>
        <w:shd w:val="clear" w:color="auto" w:fill="E0EC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91810"/>
    <w:pPr>
      <w:spacing w:after="0" w:line="240" w:lineRule="auto"/>
    </w:pPr>
    <w:tblPr>
      <w:tblStyleRowBandSize w:val="1"/>
      <w:tblStyleColBandSize w:val="1"/>
      <w:tblBorders>
        <w:top w:val="single" w:sz="8" w:space="0" w:color="AD8DB2" w:themeColor="accent2" w:themeTint="BF"/>
        <w:left w:val="single" w:sz="8" w:space="0" w:color="AD8DB2" w:themeColor="accent2" w:themeTint="BF"/>
        <w:bottom w:val="single" w:sz="8" w:space="0" w:color="AD8DB2" w:themeColor="accent2" w:themeTint="BF"/>
        <w:right w:val="single" w:sz="8" w:space="0" w:color="AD8DB2" w:themeColor="accent2" w:themeTint="BF"/>
        <w:insideH w:val="single" w:sz="8" w:space="0" w:color="AD8DB2" w:themeColor="accent2" w:themeTint="BF"/>
      </w:tblBorders>
    </w:tblPr>
    <w:tblStylePr w:type="firstRow">
      <w:pPr>
        <w:spacing w:before="0" w:after="0" w:line="240" w:lineRule="auto"/>
      </w:pPr>
      <w:rPr>
        <w:b/>
        <w:bCs/>
        <w:color w:val="FFFFFF" w:themeColor="background1"/>
      </w:rPr>
      <w:tblPr/>
      <w:tcPr>
        <w:tcBorders>
          <w:top w:val="single" w:sz="8" w:space="0" w:color="AD8DB2" w:themeColor="accent2" w:themeTint="BF"/>
          <w:left w:val="single" w:sz="8" w:space="0" w:color="AD8DB2" w:themeColor="accent2" w:themeTint="BF"/>
          <w:bottom w:val="single" w:sz="8" w:space="0" w:color="AD8DB2" w:themeColor="accent2" w:themeTint="BF"/>
          <w:right w:val="single" w:sz="8" w:space="0" w:color="AD8DB2" w:themeColor="accent2" w:themeTint="BF"/>
          <w:insideH w:val="nil"/>
          <w:insideV w:val="nil"/>
        </w:tcBorders>
        <w:shd w:val="clear" w:color="auto" w:fill="926899" w:themeFill="accent2"/>
      </w:tcPr>
    </w:tblStylePr>
    <w:tblStylePr w:type="lastRow">
      <w:pPr>
        <w:spacing w:before="0" w:after="0" w:line="240" w:lineRule="auto"/>
      </w:pPr>
      <w:rPr>
        <w:b/>
        <w:bCs/>
      </w:rPr>
      <w:tblPr/>
      <w:tcPr>
        <w:tcBorders>
          <w:top w:val="double" w:sz="6" w:space="0" w:color="AD8DB2" w:themeColor="accent2" w:themeTint="BF"/>
          <w:left w:val="single" w:sz="8" w:space="0" w:color="AD8DB2" w:themeColor="accent2" w:themeTint="BF"/>
          <w:bottom w:val="single" w:sz="8" w:space="0" w:color="AD8DB2" w:themeColor="accent2" w:themeTint="BF"/>
          <w:right w:val="single" w:sz="8" w:space="0" w:color="AD8DB2"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D9E5" w:themeFill="accent2" w:themeFillTint="3F"/>
      </w:tcPr>
    </w:tblStylePr>
    <w:tblStylePr w:type="band1Horz">
      <w:tblPr/>
      <w:tcPr>
        <w:tcBorders>
          <w:insideH w:val="nil"/>
          <w:insideV w:val="nil"/>
        </w:tcBorders>
        <w:shd w:val="clear" w:color="auto" w:fill="E4D9E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91810"/>
    <w:pPr>
      <w:spacing w:after="0" w:line="240" w:lineRule="auto"/>
    </w:pPr>
    <w:tblPr>
      <w:tblStyleRowBandSize w:val="1"/>
      <w:tblStyleColBandSize w:val="1"/>
      <w:tblBorders>
        <w:top w:val="single" w:sz="8" w:space="0" w:color="9DD396" w:themeColor="accent3" w:themeTint="BF"/>
        <w:left w:val="single" w:sz="8" w:space="0" w:color="9DD396" w:themeColor="accent3" w:themeTint="BF"/>
        <w:bottom w:val="single" w:sz="8" w:space="0" w:color="9DD396" w:themeColor="accent3" w:themeTint="BF"/>
        <w:right w:val="single" w:sz="8" w:space="0" w:color="9DD396" w:themeColor="accent3" w:themeTint="BF"/>
        <w:insideH w:val="single" w:sz="8" w:space="0" w:color="9DD396" w:themeColor="accent3" w:themeTint="BF"/>
      </w:tblBorders>
    </w:tblPr>
    <w:tblStylePr w:type="firstRow">
      <w:pPr>
        <w:spacing w:before="0" w:after="0" w:line="240" w:lineRule="auto"/>
      </w:pPr>
      <w:rPr>
        <w:b/>
        <w:bCs/>
        <w:color w:val="FFFFFF" w:themeColor="background1"/>
      </w:rPr>
      <w:tblPr/>
      <w:tcPr>
        <w:tcBorders>
          <w:top w:val="single" w:sz="8" w:space="0" w:color="9DD396" w:themeColor="accent3" w:themeTint="BF"/>
          <w:left w:val="single" w:sz="8" w:space="0" w:color="9DD396" w:themeColor="accent3" w:themeTint="BF"/>
          <w:bottom w:val="single" w:sz="8" w:space="0" w:color="9DD396" w:themeColor="accent3" w:themeTint="BF"/>
          <w:right w:val="single" w:sz="8" w:space="0" w:color="9DD396" w:themeColor="accent3" w:themeTint="BF"/>
          <w:insideH w:val="nil"/>
          <w:insideV w:val="nil"/>
        </w:tcBorders>
        <w:shd w:val="clear" w:color="auto" w:fill="7DC574" w:themeFill="accent3"/>
      </w:tcPr>
    </w:tblStylePr>
    <w:tblStylePr w:type="lastRow">
      <w:pPr>
        <w:spacing w:before="0" w:after="0" w:line="240" w:lineRule="auto"/>
      </w:pPr>
      <w:rPr>
        <w:b/>
        <w:bCs/>
      </w:rPr>
      <w:tblPr/>
      <w:tcPr>
        <w:tcBorders>
          <w:top w:val="double" w:sz="6" w:space="0" w:color="9DD396" w:themeColor="accent3" w:themeTint="BF"/>
          <w:left w:val="single" w:sz="8" w:space="0" w:color="9DD396" w:themeColor="accent3" w:themeTint="BF"/>
          <w:bottom w:val="single" w:sz="8" w:space="0" w:color="9DD396" w:themeColor="accent3" w:themeTint="BF"/>
          <w:right w:val="single" w:sz="8" w:space="0" w:color="9DD39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EF0DC" w:themeFill="accent3" w:themeFillTint="3F"/>
      </w:tcPr>
    </w:tblStylePr>
    <w:tblStylePr w:type="band1Horz">
      <w:tblPr/>
      <w:tcPr>
        <w:tcBorders>
          <w:insideH w:val="nil"/>
          <w:insideV w:val="nil"/>
        </w:tcBorders>
        <w:shd w:val="clear" w:color="auto" w:fill="DEF0D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91810"/>
    <w:pPr>
      <w:spacing w:after="0" w:line="240" w:lineRule="auto"/>
    </w:pPr>
    <w:tblPr>
      <w:tblStyleRowBandSize w:val="1"/>
      <w:tblStyleColBandSize w:val="1"/>
      <w:tblBorders>
        <w:top w:val="single" w:sz="8" w:space="0" w:color="F9B161" w:themeColor="accent4" w:themeTint="BF"/>
        <w:left w:val="single" w:sz="8" w:space="0" w:color="F9B161" w:themeColor="accent4" w:themeTint="BF"/>
        <w:bottom w:val="single" w:sz="8" w:space="0" w:color="F9B161" w:themeColor="accent4" w:themeTint="BF"/>
        <w:right w:val="single" w:sz="8" w:space="0" w:color="F9B161" w:themeColor="accent4" w:themeTint="BF"/>
        <w:insideH w:val="single" w:sz="8" w:space="0" w:color="F9B161" w:themeColor="accent4" w:themeTint="BF"/>
      </w:tblBorders>
    </w:tblPr>
    <w:tblStylePr w:type="firstRow">
      <w:pPr>
        <w:spacing w:before="0" w:after="0" w:line="240" w:lineRule="auto"/>
      </w:pPr>
      <w:rPr>
        <w:b/>
        <w:bCs/>
        <w:color w:val="FFFFFF" w:themeColor="background1"/>
      </w:rPr>
      <w:tblPr/>
      <w:tcPr>
        <w:tcBorders>
          <w:top w:val="single" w:sz="8" w:space="0" w:color="F9B161" w:themeColor="accent4" w:themeTint="BF"/>
          <w:left w:val="single" w:sz="8" w:space="0" w:color="F9B161" w:themeColor="accent4" w:themeTint="BF"/>
          <w:bottom w:val="single" w:sz="8" w:space="0" w:color="F9B161" w:themeColor="accent4" w:themeTint="BF"/>
          <w:right w:val="single" w:sz="8" w:space="0" w:color="F9B161" w:themeColor="accent4" w:themeTint="BF"/>
          <w:insideH w:val="nil"/>
          <w:insideV w:val="nil"/>
        </w:tcBorders>
        <w:shd w:val="clear" w:color="auto" w:fill="F8982D" w:themeFill="accent4"/>
      </w:tcPr>
    </w:tblStylePr>
    <w:tblStylePr w:type="lastRow">
      <w:pPr>
        <w:spacing w:before="0" w:after="0" w:line="240" w:lineRule="auto"/>
      </w:pPr>
      <w:rPr>
        <w:b/>
        <w:bCs/>
      </w:rPr>
      <w:tblPr/>
      <w:tcPr>
        <w:tcBorders>
          <w:top w:val="double" w:sz="6" w:space="0" w:color="F9B161" w:themeColor="accent4" w:themeTint="BF"/>
          <w:left w:val="single" w:sz="8" w:space="0" w:color="F9B161" w:themeColor="accent4" w:themeTint="BF"/>
          <w:bottom w:val="single" w:sz="8" w:space="0" w:color="F9B161" w:themeColor="accent4" w:themeTint="BF"/>
          <w:right w:val="single" w:sz="8" w:space="0" w:color="F9B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5CB" w:themeFill="accent4" w:themeFillTint="3F"/>
      </w:tcPr>
    </w:tblStylePr>
    <w:tblStylePr w:type="band1Horz">
      <w:tblPr/>
      <w:tcPr>
        <w:tcBorders>
          <w:insideH w:val="nil"/>
          <w:insideV w:val="nil"/>
        </w:tcBorders>
        <w:shd w:val="clear" w:color="auto" w:fill="FD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91810"/>
    <w:pPr>
      <w:spacing w:after="0" w:line="240" w:lineRule="auto"/>
    </w:pPr>
    <w:tblPr>
      <w:tblStyleRowBandSize w:val="1"/>
      <w:tblStyleColBandSize w:val="1"/>
      <w:tblBorders>
        <w:top w:val="single" w:sz="8" w:space="0" w:color="57C4C1" w:themeColor="accent5" w:themeTint="BF"/>
        <w:left w:val="single" w:sz="8" w:space="0" w:color="57C4C1" w:themeColor="accent5" w:themeTint="BF"/>
        <w:bottom w:val="single" w:sz="8" w:space="0" w:color="57C4C1" w:themeColor="accent5" w:themeTint="BF"/>
        <w:right w:val="single" w:sz="8" w:space="0" w:color="57C4C1" w:themeColor="accent5" w:themeTint="BF"/>
        <w:insideH w:val="single" w:sz="8" w:space="0" w:color="57C4C1" w:themeColor="accent5" w:themeTint="BF"/>
      </w:tblBorders>
    </w:tblPr>
    <w:tblStylePr w:type="firstRow">
      <w:pPr>
        <w:spacing w:before="0" w:after="0" w:line="240" w:lineRule="auto"/>
      </w:pPr>
      <w:rPr>
        <w:b/>
        <w:bCs/>
        <w:color w:val="FFFFFF" w:themeColor="background1"/>
      </w:rPr>
      <w:tblPr/>
      <w:tcPr>
        <w:tcBorders>
          <w:top w:val="single" w:sz="8" w:space="0" w:color="57C4C1" w:themeColor="accent5" w:themeTint="BF"/>
          <w:left w:val="single" w:sz="8" w:space="0" w:color="57C4C1" w:themeColor="accent5" w:themeTint="BF"/>
          <w:bottom w:val="single" w:sz="8" w:space="0" w:color="57C4C1" w:themeColor="accent5" w:themeTint="BF"/>
          <w:right w:val="single" w:sz="8" w:space="0" w:color="57C4C1" w:themeColor="accent5" w:themeTint="BF"/>
          <w:insideH w:val="nil"/>
          <w:insideV w:val="nil"/>
        </w:tcBorders>
        <w:shd w:val="clear" w:color="auto" w:fill="369A98" w:themeFill="accent5"/>
      </w:tcPr>
    </w:tblStylePr>
    <w:tblStylePr w:type="lastRow">
      <w:pPr>
        <w:spacing w:before="0" w:after="0" w:line="240" w:lineRule="auto"/>
      </w:pPr>
      <w:rPr>
        <w:b/>
        <w:bCs/>
      </w:rPr>
      <w:tblPr/>
      <w:tcPr>
        <w:tcBorders>
          <w:top w:val="double" w:sz="6" w:space="0" w:color="57C4C1" w:themeColor="accent5" w:themeTint="BF"/>
          <w:left w:val="single" w:sz="8" w:space="0" w:color="57C4C1" w:themeColor="accent5" w:themeTint="BF"/>
          <w:bottom w:val="single" w:sz="8" w:space="0" w:color="57C4C1" w:themeColor="accent5" w:themeTint="BF"/>
          <w:right w:val="single" w:sz="8" w:space="0" w:color="57C4C1" w:themeColor="accent5" w:themeTint="BF"/>
          <w:insideH w:val="nil"/>
          <w:insideV w:val="nil"/>
        </w:tcBorders>
      </w:tcPr>
    </w:tblStylePr>
    <w:tblStylePr w:type="firstCol">
      <w:rPr>
        <w:b/>
        <w:bCs/>
      </w:rPr>
    </w:tblStylePr>
    <w:tblStylePr w:type="lastCol">
      <w:rPr>
        <w:b/>
        <w:bCs/>
      </w:rPr>
    </w:tblStylePr>
    <w:tblStylePr w:type="band1Vert">
      <w:tblPr/>
      <w:tcPr>
        <w:shd w:val="clear" w:color="auto" w:fill="C7EBEA" w:themeFill="accent5" w:themeFillTint="3F"/>
      </w:tcPr>
    </w:tblStylePr>
    <w:tblStylePr w:type="band1Horz">
      <w:tblPr/>
      <w:tcPr>
        <w:tcBorders>
          <w:insideH w:val="nil"/>
          <w:insideV w:val="nil"/>
        </w:tcBorders>
        <w:shd w:val="clear" w:color="auto" w:fill="C7EB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91810"/>
    <w:pPr>
      <w:spacing w:after="0" w:line="240" w:lineRule="auto"/>
    </w:pPr>
    <w:tblPr>
      <w:tblStyleRowBandSize w:val="1"/>
      <w:tblStyleColBandSize w:val="1"/>
      <w:tblBorders>
        <w:top w:val="single" w:sz="8" w:space="0" w:color="F2F8FB" w:themeColor="accent6" w:themeTint="BF"/>
        <w:left w:val="single" w:sz="8" w:space="0" w:color="F2F8FB" w:themeColor="accent6" w:themeTint="BF"/>
        <w:bottom w:val="single" w:sz="8" w:space="0" w:color="F2F8FB" w:themeColor="accent6" w:themeTint="BF"/>
        <w:right w:val="single" w:sz="8" w:space="0" w:color="F2F8FB" w:themeColor="accent6" w:themeTint="BF"/>
        <w:insideH w:val="single" w:sz="8" w:space="0" w:color="F2F8FB" w:themeColor="accent6" w:themeTint="BF"/>
      </w:tblBorders>
    </w:tblPr>
    <w:tblStylePr w:type="firstRow">
      <w:pPr>
        <w:spacing w:before="0" w:after="0" w:line="240" w:lineRule="auto"/>
      </w:pPr>
      <w:rPr>
        <w:b/>
        <w:bCs/>
        <w:color w:val="FFFFFF" w:themeColor="background1"/>
      </w:rPr>
      <w:tblPr/>
      <w:tcPr>
        <w:tcBorders>
          <w:top w:val="single" w:sz="8" w:space="0" w:color="F2F8FB" w:themeColor="accent6" w:themeTint="BF"/>
          <w:left w:val="single" w:sz="8" w:space="0" w:color="F2F8FB" w:themeColor="accent6" w:themeTint="BF"/>
          <w:bottom w:val="single" w:sz="8" w:space="0" w:color="F2F8FB" w:themeColor="accent6" w:themeTint="BF"/>
          <w:right w:val="single" w:sz="8" w:space="0" w:color="F2F8FB" w:themeColor="accent6" w:themeTint="BF"/>
          <w:insideH w:val="nil"/>
          <w:insideV w:val="nil"/>
        </w:tcBorders>
        <w:shd w:val="clear" w:color="auto" w:fill="EFF6FA" w:themeFill="accent6"/>
      </w:tcPr>
    </w:tblStylePr>
    <w:tblStylePr w:type="lastRow">
      <w:pPr>
        <w:spacing w:before="0" w:after="0" w:line="240" w:lineRule="auto"/>
      </w:pPr>
      <w:rPr>
        <w:b/>
        <w:bCs/>
      </w:rPr>
      <w:tblPr/>
      <w:tcPr>
        <w:tcBorders>
          <w:top w:val="double" w:sz="6" w:space="0" w:color="F2F8FB" w:themeColor="accent6" w:themeTint="BF"/>
          <w:left w:val="single" w:sz="8" w:space="0" w:color="F2F8FB" w:themeColor="accent6" w:themeTint="BF"/>
          <w:bottom w:val="single" w:sz="8" w:space="0" w:color="F2F8FB" w:themeColor="accent6" w:themeTint="BF"/>
          <w:right w:val="single" w:sz="8" w:space="0" w:color="F2F8F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FCFD" w:themeFill="accent6" w:themeFillTint="3F"/>
      </w:tcPr>
    </w:tblStylePr>
    <w:tblStylePr w:type="band1Horz">
      <w:tblPr/>
      <w:tcPr>
        <w:tcBorders>
          <w:insideH w:val="nil"/>
          <w:insideV w:val="nil"/>
        </w:tcBorders>
        <w:shd w:val="clear" w:color="auto" w:fill="FAFC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3C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3CB" w:themeFill="accent1"/>
      </w:tcPr>
    </w:tblStylePr>
    <w:tblStylePr w:type="lastCol">
      <w:rPr>
        <w:b/>
        <w:bCs/>
        <w:color w:val="FFFFFF" w:themeColor="background1"/>
      </w:rPr>
      <w:tblPr/>
      <w:tcPr>
        <w:tcBorders>
          <w:left w:val="nil"/>
          <w:right w:val="nil"/>
          <w:insideH w:val="nil"/>
          <w:insideV w:val="nil"/>
        </w:tcBorders>
        <w:shd w:val="clear" w:color="auto" w:fill="86B3C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689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6899" w:themeFill="accent2"/>
      </w:tcPr>
    </w:tblStylePr>
    <w:tblStylePr w:type="lastCol">
      <w:rPr>
        <w:b/>
        <w:bCs/>
        <w:color w:val="FFFFFF" w:themeColor="background1"/>
      </w:rPr>
      <w:tblPr/>
      <w:tcPr>
        <w:tcBorders>
          <w:left w:val="nil"/>
          <w:right w:val="nil"/>
          <w:insideH w:val="nil"/>
          <w:insideV w:val="nil"/>
        </w:tcBorders>
        <w:shd w:val="clear" w:color="auto" w:fill="92689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C57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C574" w:themeFill="accent3"/>
      </w:tcPr>
    </w:tblStylePr>
    <w:tblStylePr w:type="lastCol">
      <w:rPr>
        <w:b/>
        <w:bCs/>
        <w:color w:val="FFFFFF" w:themeColor="background1"/>
      </w:rPr>
      <w:tblPr/>
      <w:tcPr>
        <w:tcBorders>
          <w:left w:val="nil"/>
          <w:right w:val="nil"/>
          <w:insideH w:val="nil"/>
          <w:insideV w:val="nil"/>
        </w:tcBorders>
        <w:shd w:val="clear" w:color="auto" w:fill="7DC57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82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82D" w:themeFill="accent4"/>
      </w:tcPr>
    </w:tblStylePr>
    <w:tblStylePr w:type="lastCol">
      <w:rPr>
        <w:b/>
        <w:bCs/>
        <w:color w:val="FFFFFF" w:themeColor="background1"/>
      </w:rPr>
      <w:tblPr/>
      <w:tcPr>
        <w:tcBorders>
          <w:left w:val="nil"/>
          <w:right w:val="nil"/>
          <w:insideH w:val="nil"/>
          <w:insideV w:val="nil"/>
        </w:tcBorders>
        <w:shd w:val="clear" w:color="auto" w:fill="F8982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9A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9A98" w:themeFill="accent5"/>
      </w:tcPr>
    </w:tblStylePr>
    <w:tblStylePr w:type="lastCol">
      <w:rPr>
        <w:b/>
        <w:bCs/>
        <w:color w:val="FFFFFF" w:themeColor="background1"/>
      </w:rPr>
      <w:tblPr/>
      <w:tcPr>
        <w:tcBorders>
          <w:left w:val="nil"/>
          <w:right w:val="nil"/>
          <w:insideH w:val="nil"/>
          <w:insideV w:val="nil"/>
        </w:tcBorders>
        <w:shd w:val="clear" w:color="auto" w:fill="369A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F6F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F6FA" w:themeFill="accent6"/>
      </w:tcPr>
    </w:tblStylePr>
    <w:tblStylePr w:type="lastCol">
      <w:rPr>
        <w:b/>
        <w:bCs/>
        <w:color w:val="FFFFFF" w:themeColor="background1"/>
      </w:rPr>
      <w:tblPr/>
      <w:tcPr>
        <w:tcBorders>
          <w:left w:val="nil"/>
          <w:right w:val="nil"/>
          <w:insideH w:val="nil"/>
          <w:insideV w:val="nil"/>
        </w:tcBorders>
        <w:shd w:val="clear" w:color="auto" w:fill="EFF6F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9181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1810"/>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rsid w:val="00B91810"/>
    <w:pPr>
      <w:spacing w:after="0" w:line="240" w:lineRule="auto"/>
    </w:pPr>
  </w:style>
  <w:style w:type="paragraph" w:styleId="NormalWeb">
    <w:name w:val="Normal (Web)"/>
    <w:basedOn w:val="Normal"/>
    <w:uiPriority w:val="99"/>
    <w:semiHidden/>
    <w:unhideWhenUsed/>
    <w:rsid w:val="00B91810"/>
    <w:rPr>
      <w:rFonts w:ascii="Times New Roman" w:hAnsi="Times New Roman" w:cs="Times New Roman"/>
      <w:sz w:val="24"/>
      <w:szCs w:val="24"/>
    </w:rPr>
  </w:style>
  <w:style w:type="paragraph" w:styleId="NormalIndent">
    <w:name w:val="Normal Indent"/>
    <w:basedOn w:val="Normal"/>
    <w:uiPriority w:val="99"/>
    <w:semiHidden/>
    <w:unhideWhenUsed/>
    <w:rsid w:val="00B91810"/>
    <w:pPr>
      <w:ind w:left="720"/>
    </w:pPr>
  </w:style>
  <w:style w:type="paragraph" w:styleId="NoteHeading">
    <w:name w:val="Note Heading"/>
    <w:basedOn w:val="Normal"/>
    <w:next w:val="Normal"/>
    <w:link w:val="NoteHeadingChar"/>
    <w:uiPriority w:val="99"/>
    <w:semiHidden/>
    <w:unhideWhenUsed/>
    <w:rsid w:val="00B91810"/>
    <w:pPr>
      <w:spacing w:after="0" w:line="240" w:lineRule="auto"/>
    </w:pPr>
  </w:style>
  <w:style w:type="character" w:customStyle="1" w:styleId="NoteHeadingChar">
    <w:name w:val="Note Heading Char"/>
    <w:basedOn w:val="DefaultParagraphFont"/>
    <w:link w:val="NoteHeading"/>
    <w:uiPriority w:val="99"/>
    <w:semiHidden/>
    <w:rsid w:val="00B91810"/>
    <w:rPr>
      <w:lang w:val="en-GB"/>
    </w:rPr>
  </w:style>
  <w:style w:type="character" w:styleId="PageNumber">
    <w:name w:val="page number"/>
    <w:basedOn w:val="DefaultParagraphFont"/>
    <w:uiPriority w:val="99"/>
    <w:semiHidden/>
    <w:unhideWhenUsed/>
    <w:rsid w:val="00B91810"/>
    <w:rPr>
      <w:lang w:val="en-GB"/>
    </w:rPr>
  </w:style>
  <w:style w:type="paragraph" w:styleId="PlainText">
    <w:name w:val="Plain Text"/>
    <w:basedOn w:val="Normal"/>
    <w:link w:val="PlainTextChar"/>
    <w:uiPriority w:val="99"/>
    <w:semiHidden/>
    <w:unhideWhenUsed/>
    <w:rsid w:val="00B9181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91810"/>
    <w:rPr>
      <w:rFonts w:ascii="Consolas" w:hAnsi="Consolas" w:cs="Consolas"/>
      <w:sz w:val="21"/>
      <w:szCs w:val="21"/>
      <w:lang w:val="en-GB"/>
    </w:rPr>
  </w:style>
  <w:style w:type="paragraph" w:styleId="Quote">
    <w:name w:val="Quote"/>
    <w:basedOn w:val="Normal"/>
    <w:next w:val="Normal"/>
    <w:link w:val="QuoteChar"/>
    <w:uiPriority w:val="29"/>
    <w:semiHidden/>
    <w:rsid w:val="00B91810"/>
    <w:rPr>
      <w:i/>
      <w:iCs/>
    </w:rPr>
  </w:style>
  <w:style w:type="character" w:customStyle="1" w:styleId="QuoteChar">
    <w:name w:val="Quote Char"/>
    <w:basedOn w:val="DefaultParagraphFont"/>
    <w:link w:val="Quote"/>
    <w:uiPriority w:val="29"/>
    <w:rsid w:val="00B91810"/>
    <w:rPr>
      <w:i/>
      <w:iCs/>
      <w:color w:val="000000" w:themeColor="text1"/>
      <w:lang w:val="en-GB"/>
    </w:rPr>
  </w:style>
  <w:style w:type="paragraph" w:styleId="Salutation">
    <w:name w:val="Salutation"/>
    <w:basedOn w:val="Normal"/>
    <w:next w:val="Normal"/>
    <w:link w:val="SalutationChar"/>
    <w:uiPriority w:val="99"/>
    <w:semiHidden/>
    <w:unhideWhenUsed/>
    <w:rsid w:val="00B91810"/>
  </w:style>
  <w:style w:type="character" w:customStyle="1" w:styleId="SalutationChar">
    <w:name w:val="Salutation Char"/>
    <w:basedOn w:val="DefaultParagraphFont"/>
    <w:link w:val="Salutation"/>
    <w:uiPriority w:val="99"/>
    <w:semiHidden/>
    <w:rsid w:val="00B91810"/>
    <w:rPr>
      <w:lang w:val="en-GB"/>
    </w:rPr>
  </w:style>
  <w:style w:type="paragraph" w:styleId="Signature">
    <w:name w:val="Signature"/>
    <w:basedOn w:val="Normal"/>
    <w:link w:val="SignatureChar"/>
    <w:uiPriority w:val="99"/>
    <w:semiHidden/>
    <w:unhideWhenUsed/>
    <w:rsid w:val="00B91810"/>
    <w:pPr>
      <w:spacing w:after="0" w:line="240" w:lineRule="auto"/>
      <w:ind w:left="4252"/>
    </w:pPr>
  </w:style>
  <w:style w:type="character" w:customStyle="1" w:styleId="SignatureChar">
    <w:name w:val="Signature Char"/>
    <w:basedOn w:val="DefaultParagraphFont"/>
    <w:link w:val="Signature"/>
    <w:uiPriority w:val="99"/>
    <w:semiHidden/>
    <w:rsid w:val="00B91810"/>
    <w:rPr>
      <w:lang w:val="en-GB"/>
    </w:rPr>
  </w:style>
  <w:style w:type="character" w:styleId="Strong">
    <w:name w:val="Strong"/>
    <w:basedOn w:val="DefaultParagraphFont"/>
    <w:uiPriority w:val="22"/>
    <w:semiHidden/>
    <w:rsid w:val="00B91810"/>
    <w:rPr>
      <w:b/>
      <w:bCs/>
      <w:lang w:val="en-GB"/>
    </w:rPr>
  </w:style>
  <w:style w:type="paragraph" w:styleId="Subtitle">
    <w:name w:val="Subtitle"/>
    <w:basedOn w:val="Normal"/>
    <w:next w:val="Normal"/>
    <w:link w:val="SubtitleChar"/>
    <w:uiPriority w:val="11"/>
    <w:semiHidden/>
    <w:rsid w:val="00B91810"/>
    <w:pPr>
      <w:numPr>
        <w:ilvl w:val="1"/>
      </w:numPr>
    </w:pPr>
    <w:rPr>
      <w:rFonts w:asciiTheme="majorHAnsi" w:eastAsiaTheme="majorEastAsia" w:hAnsiTheme="majorHAnsi" w:cstheme="majorBidi"/>
      <w:i/>
      <w:iCs/>
      <w:color w:val="86B3CB" w:themeColor="accent1"/>
      <w:spacing w:val="15"/>
      <w:sz w:val="24"/>
      <w:szCs w:val="24"/>
    </w:rPr>
  </w:style>
  <w:style w:type="character" w:customStyle="1" w:styleId="SubtitleChar">
    <w:name w:val="Subtitle Char"/>
    <w:basedOn w:val="DefaultParagraphFont"/>
    <w:link w:val="Subtitle"/>
    <w:uiPriority w:val="11"/>
    <w:rsid w:val="00B91810"/>
    <w:rPr>
      <w:rFonts w:asciiTheme="majorHAnsi" w:eastAsiaTheme="majorEastAsia" w:hAnsiTheme="majorHAnsi" w:cstheme="majorBidi"/>
      <w:i/>
      <w:iCs/>
      <w:color w:val="86B3CB" w:themeColor="accent1"/>
      <w:spacing w:val="15"/>
      <w:sz w:val="24"/>
      <w:szCs w:val="24"/>
      <w:lang w:val="en-GB"/>
    </w:rPr>
  </w:style>
  <w:style w:type="character" w:styleId="SubtleEmphasis">
    <w:name w:val="Subtle Emphasis"/>
    <w:basedOn w:val="DefaultParagraphFont"/>
    <w:uiPriority w:val="19"/>
    <w:semiHidden/>
    <w:rsid w:val="00B91810"/>
    <w:rPr>
      <w:i/>
      <w:iCs/>
      <w:color w:val="808080" w:themeColor="text1" w:themeTint="7F"/>
      <w:lang w:val="en-GB"/>
    </w:rPr>
  </w:style>
  <w:style w:type="character" w:styleId="SubtleReference">
    <w:name w:val="Subtle Reference"/>
    <w:basedOn w:val="DefaultParagraphFont"/>
    <w:uiPriority w:val="31"/>
    <w:semiHidden/>
    <w:rsid w:val="00B91810"/>
    <w:rPr>
      <w:smallCaps/>
      <w:color w:val="926899" w:themeColor="accent2"/>
      <w:u w:val="single"/>
      <w:lang w:val="en-GB"/>
    </w:rPr>
  </w:style>
  <w:style w:type="table" w:styleId="Table3Deffects1">
    <w:name w:val="Table 3D effects 1"/>
    <w:basedOn w:val="TableNormal"/>
    <w:uiPriority w:val="99"/>
    <w:semiHidden/>
    <w:unhideWhenUsed/>
    <w:rsid w:val="00B9181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9181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9181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918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9181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918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9181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9181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9181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9181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9181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9181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9181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9181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9181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9181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9181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9181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9181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9181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9181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9181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9181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9181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918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918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91810"/>
    <w:pPr>
      <w:spacing w:after="0"/>
      <w:ind w:left="220" w:hanging="220"/>
    </w:pPr>
  </w:style>
  <w:style w:type="table" w:styleId="TableProfessional">
    <w:name w:val="Table Professional"/>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9181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9181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9181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9181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91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9181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9181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9181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91810"/>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B91810"/>
    <w:pPr>
      <w:spacing w:after="100"/>
      <w:ind w:left="440"/>
    </w:pPr>
  </w:style>
  <w:style w:type="paragraph" w:styleId="TOC4">
    <w:name w:val="toc 4"/>
    <w:basedOn w:val="Normal"/>
    <w:next w:val="Normal"/>
    <w:autoRedefine/>
    <w:uiPriority w:val="39"/>
    <w:semiHidden/>
    <w:unhideWhenUsed/>
    <w:rsid w:val="00B91810"/>
    <w:pPr>
      <w:spacing w:after="100"/>
      <w:ind w:left="660"/>
    </w:pPr>
  </w:style>
  <w:style w:type="paragraph" w:styleId="TOC5">
    <w:name w:val="toc 5"/>
    <w:basedOn w:val="Normal"/>
    <w:next w:val="Normal"/>
    <w:autoRedefine/>
    <w:uiPriority w:val="39"/>
    <w:semiHidden/>
    <w:unhideWhenUsed/>
    <w:rsid w:val="00B91810"/>
    <w:pPr>
      <w:spacing w:after="100"/>
      <w:ind w:left="880"/>
    </w:pPr>
  </w:style>
  <w:style w:type="paragraph" w:styleId="TOC6">
    <w:name w:val="toc 6"/>
    <w:basedOn w:val="Normal"/>
    <w:next w:val="Normal"/>
    <w:autoRedefine/>
    <w:uiPriority w:val="39"/>
    <w:semiHidden/>
    <w:unhideWhenUsed/>
    <w:rsid w:val="00B91810"/>
    <w:pPr>
      <w:spacing w:after="100"/>
      <w:ind w:left="1100"/>
    </w:pPr>
  </w:style>
  <w:style w:type="paragraph" w:styleId="TOC7">
    <w:name w:val="toc 7"/>
    <w:next w:val="Normal"/>
    <w:uiPriority w:val="39"/>
    <w:semiHidden/>
    <w:unhideWhenUsed/>
    <w:rsid w:val="00065DC6"/>
    <w:pPr>
      <w:tabs>
        <w:tab w:val="left" w:pos="0"/>
      </w:tabs>
      <w:spacing w:before="280" w:after="0"/>
      <w:ind w:left="-567"/>
    </w:pPr>
    <w:rPr>
      <w:b/>
    </w:rPr>
  </w:style>
  <w:style w:type="paragraph" w:styleId="TOC8">
    <w:name w:val="toc 8"/>
    <w:basedOn w:val="Normal"/>
    <w:next w:val="Normal"/>
    <w:autoRedefine/>
    <w:uiPriority w:val="39"/>
    <w:semiHidden/>
    <w:unhideWhenUsed/>
    <w:rsid w:val="00B91810"/>
    <w:pPr>
      <w:spacing w:after="100"/>
      <w:ind w:left="1540"/>
    </w:pPr>
  </w:style>
  <w:style w:type="paragraph" w:styleId="TOC9">
    <w:name w:val="toc 9"/>
    <w:basedOn w:val="Normal"/>
    <w:next w:val="Normal"/>
    <w:autoRedefine/>
    <w:uiPriority w:val="39"/>
    <w:semiHidden/>
    <w:unhideWhenUsed/>
    <w:rsid w:val="00B91810"/>
    <w:pPr>
      <w:spacing w:after="100"/>
      <w:ind w:left="1760"/>
    </w:pPr>
  </w:style>
  <w:style w:type="paragraph" w:customStyle="1" w:styleId="SDGExec1">
    <w:name w:val="SDG Exec 1"/>
    <w:next w:val="SDGExec2"/>
    <w:uiPriority w:val="2"/>
    <w:semiHidden/>
    <w:rsid w:val="00F066DA"/>
    <w:pPr>
      <w:keepNext/>
      <w:outlineLvl w:val="0"/>
    </w:pPr>
    <w:rPr>
      <w:rFonts w:asciiTheme="majorHAnsi" w:eastAsiaTheme="majorEastAsia" w:hAnsiTheme="majorHAnsi" w:cstheme="majorBidi"/>
      <w:b/>
      <w:iCs/>
      <w:color w:val="AE1031" w:themeColor="text2"/>
      <w:spacing w:val="15"/>
      <w:sz w:val="28"/>
      <w:szCs w:val="24"/>
    </w:rPr>
  </w:style>
  <w:style w:type="paragraph" w:customStyle="1" w:styleId="SDGControlheading">
    <w:name w:val="SDG Control heading"/>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before="240" w:after="240" w:line="288" w:lineRule="auto"/>
      <w:jc w:val="center"/>
    </w:pPr>
    <w:rPr>
      <w:rFonts w:eastAsia="Times New Roman" w:cs="Times New Roman"/>
      <w:caps/>
      <w:sz w:val="20"/>
      <w:szCs w:val="24"/>
      <w:lang w:eastAsia="en-GB"/>
    </w:rPr>
  </w:style>
  <w:style w:type="paragraph" w:customStyle="1" w:styleId="SDGHidden">
    <w:name w:val="SDG Hidden"/>
    <w:basedOn w:val="Normal"/>
    <w:hidden/>
    <w:rsid w:val="008D079E"/>
    <w:pPr>
      <w:spacing w:before="40" w:line="288" w:lineRule="auto"/>
    </w:pPr>
    <w:rPr>
      <w:rFonts w:eastAsia="Times New Roman" w:cs="Times New Roman"/>
      <w:vanish/>
      <w:color w:val="FF0000"/>
      <w:sz w:val="20"/>
      <w:szCs w:val="24"/>
      <w:lang w:eastAsia="en-GB"/>
    </w:rPr>
  </w:style>
  <w:style w:type="paragraph" w:customStyle="1" w:styleId="SDGControltitle">
    <w:name w:val="SDG Control title"/>
    <w:basedOn w:val="SDGControlheading"/>
    <w:hidden/>
    <w:semiHidden/>
    <w:rsid w:val="008D079E"/>
    <w:pPr>
      <w:spacing w:before="0" w:after="0"/>
    </w:pPr>
  </w:style>
  <w:style w:type="paragraph" w:customStyle="1" w:styleId="SDGCovertitlebuffer">
    <w:name w:val="SDG Cover title buffer"/>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after="0" w:line="288" w:lineRule="auto"/>
      <w:jc w:val="center"/>
    </w:pPr>
    <w:rPr>
      <w:rFonts w:eastAsia="Times New Roman" w:cs="Times New Roman"/>
      <w:sz w:val="20"/>
      <w:szCs w:val="24"/>
      <w:lang w:eastAsia="en-GB"/>
    </w:rPr>
  </w:style>
  <w:style w:type="paragraph" w:customStyle="1" w:styleId="CSTitle">
    <w:name w:val="CS Title"/>
    <w:uiPriority w:val="1"/>
    <w:semiHidden/>
    <w:rsid w:val="00BF468F"/>
    <w:pPr>
      <w:spacing w:after="85" w:line="240" w:lineRule="auto"/>
    </w:pPr>
    <w:rPr>
      <w:rFonts w:asciiTheme="majorHAnsi" w:eastAsia="Times New Roman" w:hAnsiTheme="majorHAnsi" w:cs="Times New Roman"/>
      <w:caps/>
      <w:color w:val="57626E" w:themeColor="background2"/>
      <w:sz w:val="56"/>
      <w:szCs w:val="24"/>
      <w:lang w:eastAsia="en-GB"/>
    </w:rPr>
  </w:style>
  <w:style w:type="table" w:customStyle="1" w:styleId="ControlSheettable">
    <w:name w:val="Control Sheet table"/>
    <w:basedOn w:val="TableNormal"/>
    <w:uiPriority w:val="99"/>
    <w:semiHidden/>
    <w:rsid w:val="00E95676"/>
    <w:pPr>
      <w:keepNext/>
      <w:keepLines/>
      <w:spacing w:after="0" w:line="240" w:lineRule="auto"/>
    </w:pPr>
    <w:tblPr>
      <w:tblInd w:w="108" w:type="dxa"/>
      <w:tblBorders>
        <w:insideH w:val="single" w:sz="12" w:space="0" w:color="86B3CB" w:themeColor="accent1"/>
        <w:insideV w:val="single" w:sz="12" w:space="0" w:color="FFFFFF" w:themeColor="background1"/>
      </w:tblBorders>
    </w:tblPr>
    <w:tcPr>
      <w:shd w:val="clear" w:color="auto" w:fill="FFFFFF" w:themeFill="background1"/>
      <w:vAlign w:val="center"/>
    </w:tcPr>
    <w:tblStylePr w:type="firstRow">
      <w:rPr>
        <w:sz w:val="22"/>
      </w:rPr>
    </w:tblStylePr>
  </w:style>
  <w:style w:type="paragraph" w:customStyle="1" w:styleId="CSHeading">
    <w:name w:val="CS Heading"/>
    <w:basedOn w:val="SDGControlheading"/>
    <w:uiPriority w:val="1"/>
    <w:semiHidden/>
    <w:rsid w:val="00D72F74"/>
    <w:pPr>
      <w:pBdr>
        <w:top w:val="none" w:sz="0" w:space="0" w:color="auto"/>
        <w:left w:val="none" w:sz="0" w:space="0" w:color="auto"/>
        <w:bottom w:val="single" w:sz="8" w:space="1" w:color="57626E" w:themeColor="background2"/>
        <w:right w:val="none" w:sz="0" w:space="0" w:color="auto"/>
      </w:pBdr>
      <w:shd w:val="clear" w:color="auto" w:fill="auto"/>
      <w:spacing w:before="280" w:after="140" w:line="320" w:lineRule="atLeast"/>
      <w:ind w:right="-170"/>
      <w:jc w:val="left"/>
    </w:pPr>
    <w:rPr>
      <w:b/>
      <w:caps w:val="0"/>
      <w:color w:val="57626E" w:themeColor="background2"/>
      <w:sz w:val="22"/>
    </w:rPr>
  </w:style>
  <w:style w:type="numbering" w:customStyle="1" w:styleId="SDGAppendixHeadings">
    <w:name w:val="SDG Appendix Headings"/>
    <w:uiPriority w:val="99"/>
    <w:semiHidden/>
    <w:rsid w:val="00F43296"/>
    <w:pPr>
      <w:numPr>
        <w:numId w:val="10"/>
      </w:numPr>
    </w:pPr>
  </w:style>
  <w:style w:type="paragraph" w:customStyle="1" w:styleId="SDGAppendixListNumber">
    <w:name w:val="SDG Appendix List Number"/>
    <w:basedOn w:val="Heading9"/>
    <w:uiPriority w:val="19"/>
    <w:semiHidden/>
    <w:rsid w:val="00216329"/>
    <w:rPr>
      <w:b w:val="0"/>
      <w:color w:val="57626E" w:themeColor="background2"/>
    </w:rPr>
  </w:style>
  <w:style w:type="paragraph" w:customStyle="1" w:styleId="Appendix2Heading8">
    <w:name w:val="Appendix 2  (Heading 8)"/>
    <w:basedOn w:val="Normal"/>
    <w:semiHidden/>
    <w:rsid w:val="00F43296"/>
  </w:style>
  <w:style w:type="paragraph" w:customStyle="1" w:styleId="Appendix2n">
    <w:name w:val="Appendix 2n"/>
    <w:basedOn w:val="Heading2"/>
    <w:next w:val="SDGAppendixListNumber"/>
    <w:uiPriority w:val="17"/>
    <w:semiHidden/>
    <w:rsid w:val="00F74842"/>
  </w:style>
  <w:style w:type="paragraph" w:customStyle="1" w:styleId="Appendix3n">
    <w:name w:val="Appendix 3n"/>
    <w:basedOn w:val="Heading3"/>
    <w:next w:val="SDGAppendixListNumber"/>
    <w:uiPriority w:val="18"/>
    <w:semiHidden/>
    <w:rsid w:val="00F74842"/>
  </w:style>
  <w:style w:type="paragraph" w:customStyle="1" w:styleId="SDGExec2">
    <w:name w:val="SDG Exec 2"/>
    <w:uiPriority w:val="3"/>
    <w:semiHidden/>
    <w:rsid w:val="00216329"/>
    <w:rPr>
      <w:rFonts w:asciiTheme="majorHAnsi" w:eastAsiaTheme="majorEastAsia" w:hAnsiTheme="majorHAnsi" w:cstheme="majorBidi"/>
      <w:b/>
      <w:bCs/>
      <w:color w:val="57626E" w:themeColor="background2"/>
    </w:rPr>
  </w:style>
  <w:style w:type="paragraph" w:customStyle="1" w:styleId="BCAddress">
    <w:name w:val="BC Address"/>
    <w:uiPriority w:val="1"/>
    <w:semiHidden/>
    <w:rsid w:val="00054FAA"/>
    <w:pPr>
      <w:spacing w:after="0" w:line="260" w:lineRule="atLeast"/>
    </w:pPr>
    <w:rPr>
      <w:color w:val="FFFFFF" w:themeColor="background1"/>
      <w:sz w:val="20"/>
    </w:rPr>
  </w:style>
  <w:style w:type="paragraph" w:customStyle="1" w:styleId="BCHeading">
    <w:name w:val="BC Heading"/>
    <w:uiPriority w:val="1"/>
    <w:semiHidden/>
    <w:rsid w:val="00BF2749"/>
    <w:pPr>
      <w:spacing w:after="0" w:line="560" w:lineRule="atLeast"/>
    </w:pPr>
    <w:rPr>
      <w:b/>
      <w:color w:val="FFFFFF" w:themeColor="background1"/>
      <w:sz w:val="28"/>
    </w:rPr>
  </w:style>
  <w:style w:type="paragraph" w:customStyle="1" w:styleId="FooterBackPage">
    <w:name w:val="Footer Back Page"/>
    <w:basedOn w:val="Footer"/>
    <w:uiPriority w:val="1"/>
    <w:semiHidden/>
    <w:rsid w:val="00B17830"/>
    <w:pPr>
      <w:spacing w:line="280" w:lineRule="atLeast"/>
      <w:ind w:left="0"/>
    </w:pPr>
    <w:rPr>
      <w:color w:val="FFFFFF" w:themeColor="background1"/>
      <w:spacing w:val="6"/>
      <w:sz w:val="22"/>
    </w:rPr>
  </w:style>
  <w:style w:type="paragraph" w:customStyle="1" w:styleId="Reasonsheading">
    <w:name w:val="Reasons heading"/>
    <w:uiPriority w:val="1"/>
    <w:semiHidden/>
    <w:rsid w:val="00FA27FA"/>
    <w:pPr>
      <w:spacing w:after="0" w:line="280" w:lineRule="exact"/>
    </w:pPr>
    <w:rPr>
      <w:b/>
      <w:color w:val="FFFFFF" w:themeColor="background1"/>
      <w:sz w:val="28"/>
    </w:rPr>
  </w:style>
  <w:style w:type="paragraph" w:customStyle="1" w:styleId="Reasons">
    <w:name w:val="Reasons"/>
    <w:uiPriority w:val="1"/>
    <w:semiHidden/>
    <w:rsid w:val="00FA27FA"/>
    <w:pPr>
      <w:spacing w:after="240" w:line="240" w:lineRule="atLeast"/>
    </w:pPr>
    <w:rPr>
      <w:color w:val="FFFFFF" w:themeColor="background1"/>
      <w:spacing w:val="-6"/>
      <w:sz w:val="20"/>
    </w:rPr>
  </w:style>
  <w:style w:type="paragraph" w:customStyle="1" w:styleId="Proposaladdresses">
    <w:name w:val="Proposal addresses"/>
    <w:uiPriority w:val="1"/>
    <w:semiHidden/>
    <w:rsid w:val="00A5295C"/>
    <w:pPr>
      <w:spacing w:after="280"/>
      <w:contextualSpacing/>
    </w:pPr>
    <w:rPr>
      <w:color w:val="FFFFFF" w:themeColor="background1"/>
    </w:rPr>
  </w:style>
  <w:style w:type="paragraph" w:customStyle="1" w:styleId="PullQuote">
    <w:name w:val="Pull Quote"/>
    <w:next w:val="Normal"/>
    <w:uiPriority w:val="15"/>
    <w:qFormat/>
    <w:rsid w:val="003560C4"/>
    <w:pPr>
      <w:pBdr>
        <w:top w:val="single" w:sz="2" w:space="3" w:color="7F7F7F" w:themeColor="text1" w:themeTint="80"/>
        <w:bottom w:val="single" w:sz="2" w:space="5" w:color="7F7F7F" w:themeColor="text1" w:themeTint="80"/>
      </w:pBdr>
      <w:spacing w:before="280" w:after="360" w:line="320" w:lineRule="exact"/>
    </w:pPr>
    <w:rPr>
      <w:color w:val="7F7F7F" w:themeColor="text1" w:themeTint="80"/>
      <w:sz w:val="28"/>
    </w:rPr>
  </w:style>
  <w:style w:type="paragraph" w:customStyle="1" w:styleId="NormalNumbered">
    <w:name w:val="Normal Numbered"/>
    <w:uiPriority w:val="6"/>
    <w:qFormat/>
    <w:rsid w:val="00781970"/>
    <w:pPr>
      <w:numPr>
        <w:ilvl w:val="3"/>
        <w:numId w:val="2"/>
      </w:numPr>
    </w:pPr>
  </w:style>
  <w:style w:type="paragraph" w:customStyle="1" w:styleId="ListEnd">
    <w:name w:val="List End"/>
    <w:next w:val="NormalNumbered"/>
    <w:uiPriority w:val="13"/>
    <w:semiHidden/>
    <w:rsid w:val="00FD7839"/>
    <w:pPr>
      <w:spacing w:after="0" w:line="140" w:lineRule="exact"/>
    </w:pPr>
  </w:style>
  <w:style w:type="numbering" w:customStyle="1" w:styleId="SDGListNumbers">
    <w:name w:val="SDG List Numbers"/>
    <w:uiPriority w:val="99"/>
    <w:semiHidden/>
    <w:rsid w:val="001E76C3"/>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sz w:val="22"/>
        <w:szCs w:val="22"/>
        <w:lang w:val="en-GB" w:eastAsia="en-US" w:bidi="ar-SA"/>
      </w:rPr>
    </w:rPrDefault>
    <w:pPrDefault>
      <w:pPr>
        <w:spacing w:before="140" w:after="140"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3" w:qFormat="1"/>
    <w:lsdException w:name="heading 3" w:uiPriority="4" w:qFormat="1"/>
    <w:lsdException w:name="heading 4" w:uiPriority="5" w:qFormat="1"/>
    <w:lsdException w:name="heading 5" w:uiPriority="9"/>
    <w:lsdException w:name="heading 6" w:uiPriority="9"/>
    <w:lsdException w:name="heading 7" w:uiPriority="16"/>
    <w:lsdException w:name="heading 8" w:uiPriority="13"/>
    <w:lsdException w:name="heading 9" w:uiPriority="14"/>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13" w:qFormat="1"/>
    <w:lsdException w:name="List Bullet" w:uiPriority="7" w:qFormat="1"/>
    <w:lsdException w:name="List Number" w:uiPriority="10" w:qFormat="1"/>
    <w:lsdException w:name="List Bullet 2" w:uiPriority="8" w:qFormat="1"/>
    <w:lsdException w:name="List Bullet 3" w:uiPriority="9" w:qFormat="1"/>
    <w:lsdException w:name="List Number 2" w:uiPriority="11" w:qFormat="1"/>
    <w:lsdException w:name="List Number 3" w:uiPriority="12" w:qFormat="1"/>
    <w:lsdException w:name="Title" w:semiHidden="0" w:uiPriority="10" w:unhideWhenUsed="0"/>
    <w:lsdException w:name="Default Paragraph Font" w:uiPriority="0" w:qFormat="1"/>
    <w:lsdException w:name="Subtitle" w:semiHidden="0" w:uiPriority="11" w:unhideWhenUsed="0"/>
    <w:lsdException w:name="Strong" w:semiHidden="0" w:uiPriority="22" w:unhideWhenUsed="0"/>
    <w:lsdException w:name="Emphasis" w:semiHidden="0" w:uiPriority="20" w:unhideWhenUsed="0"/>
    <w:lsdException w:name="Normal Table" w:uiPriority="17"/>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241E98"/>
    <w:pPr>
      <w:spacing w:before="120" w:after="120" w:line="264" w:lineRule="auto"/>
    </w:pPr>
    <w:rPr>
      <w:color w:val="404040"/>
    </w:rPr>
  </w:style>
  <w:style w:type="paragraph" w:styleId="Heading1">
    <w:name w:val="heading 1"/>
    <w:next w:val="Heading2"/>
    <w:link w:val="Heading1Char"/>
    <w:uiPriority w:val="2"/>
    <w:qFormat/>
    <w:rsid w:val="00CE0D2C"/>
    <w:pPr>
      <w:keepNext/>
      <w:keepLines/>
      <w:numPr>
        <w:numId w:val="2"/>
      </w:numPr>
      <w:spacing w:after="280" w:line="560" w:lineRule="exact"/>
      <w:outlineLvl w:val="0"/>
    </w:pPr>
    <w:rPr>
      <w:rFonts w:asciiTheme="majorHAnsi" w:eastAsiaTheme="majorEastAsia" w:hAnsiTheme="majorHAnsi" w:cstheme="majorBidi"/>
      <w:bCs/>
      <w:sz w:val="56"/>
      <w:szCs w:val="28"/>
    </w:rPr>
  </w:style>
  <w:style w:type="paragraph" w:styleId="Heading2">
    <w:name w:val="heading 2"/>
    <w:next w:val="NormalNumbered"/>
    <w:link w:val="Heading2Char"/>
    <w:uiPriority w:val="3"/>
    <w:unhideWhenUsed/>
    <w:qFormat/>
    <w:rsid w:val="00D0125D"/>
    <w:pPr>
      <w:keepNext/>
      <w:keepLines/>
      <w:numPr>
        <w:ilvl w:val="1"/>
        <w:numId w:val="2"/>
      </w:numPr>
      <w:spacing w:line="280" w:lineRule="exact"/>
      <w:outlineLvl w:val="1"/>
    </w:pPr>
    <w:rPr>
      <w:rFonts w:asciiTheme="majorHAnsi" w:eastAsiaTheme="majorEastAsia" w:hAnsiTheme="majorHAnsi" w:cstheme="majorBidi"/>
      <w:b/>
      <w:bCs/>
      <w:color w:val="AE1031" w:themeColor="text2"/>
      <w:sz w:val="28"/>
      <w:szCs w:val="26"/>
    </w:rPr>
  </w:style>
  <w:style w:type="paragraph" w:styleId="Heading3">
    <w:name w:val="heading 3"/>
    <w:next w:val="NormalNumbered"/>
    <w:link w:val="Heading3Char"/>
    <w:uiPriority w:val="4"/>
    <w:qFormat/>
    <w:rsid w:val="00D8167D"/>
    <w:pPr>
      <w:keepNext/>
      <w:keepLines/>
      <w:numPr>
        <w:ilvl w:val="2"/>
        <w:numId w:val="2"/>
      </w:numPr>
      <w:spacing w:before="120" w:after="120" w:line="264" w:lineRule="auto"/>
      <w:outlineLvl w:val="2"/>
    </w:pPr>
    <w:rPr>
      <w:rFonts w:asciiTheme="majorHAnsi" w:eastAsiaTheme="majorEastAsia" w:hAnsiTheme="majorHAnsi" w:cstheme="majorBidi"/>
      <w:b/>
      <w:bCs/>
    </w:rPr>
  </w:style>
  <w:style w:type="paragraph" w:styleId="Heading4">
    <w:name w:val="heading 4"/>
    <w:next w:val="NormalNumbered"/>
    <w:link w:val="Heading4Char"/>
    <w:uiPriority w:val="5"/>
    <w:unhideWhenUsed/>
    <w:qFormat/>
    <w:rsid w:val="00E07F5B"/>
    <w:pPr>
      <w:keepNext/>
      <w:keepLines/>
      <w:spacing w:before="120" w:after="120" w:line="264"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rsid w:val="00B91810"/>
    <w:pPr>
      <w:keepNext/>
      <w:keepLines/>
      <w:spacing w:before="200" w:after="0"/>
      <w:outlineLvl w:val="4"/>
    </w:pPr>
    <w:rPr>
      <w:rFonts w:asciiTheme="majorHAnsi" w:eastAsiaTheme="majorEastAsia" w:hAnsiTheme="majorHAnsi" w:cstheme="majorBidi"/>
      <w:color w:val="325D75" w:themeColor="accent1" w:themeShade="7F"/>
    </w:rPr>
  </w:style>
  <w:style w:type="paragraph" w:styleId="Heading6">
    <w:name w:val="heading 6"/>
    <w:basedOn w:val="Normal"/>
    <w:next w:val="Normal"/>
    <w:link w:val="Heading6Char"/>
    <w:uiPriority w:val="9"/>
    <w:semiHidden/>
    <w:unhideWhenUsed/>
    <w:rsid w:val="00B91810"/>
    <w:pPr>
      <w:keepNext/>
      <w:keepLines/>
      <w:spacing w:before="200" w:after="0"/>
      <w:outlineLvl w:val="5"/>
    </w:pPr>
    <w:rPr>
      <w:rFonts w:asciiTheme="majorHAnsi" w:eastAsiaTheme="majorEastAsia" w:hAnsiTheme="majorHAnsi" w:cstheme="majorBidi"/>
      <w:i/>
      <w:iCs/>
      <w:color w:val="325D75" w:themeColor="accent1" w:themeShade="7F"/>
    </w:rPr>
  </w:style>
  <w:style w:type="paragraph" w:styleId="Heading7">
    <w:name w:val="heading 7"/>
    <w:aliases w:val="Appendix 1"/>
    <w:next w:val="Appendix2n"/>
    <w:link w:val="Heading7Char"/>
    <w:uiPriority w:val="16"/>
    <w:semiHidden/>
    <w:unhideWhenUsed/>
    <w:rsid w:val="00216329"/>
    <w:pPr>
      <w:keepNext/>
      <w:keepLines/>
      <w:pageBreakBefore/>
      <w:numPr>
        <w:numId w:val="11"/>
      </w:numPr>
      <w:spacing w:before="4230" w:after="280" w:line="560" w:lineRule="exact"/>
      <w:outlineLvl w:val="6"/>
    </w:pPr>
    <w:rPr>
      <w:rFonts w:asciiTheme="majorHAnsi" w:eastAsiaTheme="majorEastAsia" w:hAnsiTheme="majorHAnsi" w:cstheme="majorBidi"/>
      <w:iCs/>
      <w:color w:val="57626E" w:themeColor="background2"/>
      <w:sz w:val="56"/>
    </w:rPr>
  </w:style>
  <w:style w:type="paragraph" w:styleId="Heading8">
    <w:name w:val="heading 8"/>
    <w:aliases w:val="Appendix 2"/>
    <w:next w:val="Normal"/>
    <w:link w:val="Heading8Char"/>
    <w:uiPriority w:val="13"/>
    <w:semiHidden/>
    <w:unhideWhenUsed/>
    <w:rsid w:val="00287D6D"/>
    <w:pPr>
      <w:keepNext/>
      <w:keepLines/>
      <w:numPr>
        <w:ilvl w:val="1"/>
        <w:numId w:val="12"/>
      </w:numPr>
      <w:outlineLvl w:val="7"/>
    </w:pPr>
    <w:rPr>
      <w:rFonts w:asciiTheme="majorHAnsi" w:eastAsiaTheme="majorEastAsia" w:hAnsiTheme="majorHAnsi" w:cstheme="majorBidi"/>
      <w:b/>
      <w:color w:val="AE1031" w:themeColor="text2"/>
      <w:sz w:val="28"/>
      <w:szCs w:val="20"/>
    </w:rPr>
  </w:style>
  <w:style w:type="paragraph" w:styleId="Heading9">
    <w:name w:val="heading 9"/>
    <w:aliases w:val="Appendix 3"/>
    <w:next w:val="Normal"/>
    <w:link w:val="Heading9Char"/>
    <w:uiPriority w:val="14"/>
    <w:semiHidden/>
    <w:unhideWhenUsed/>
    <w:rsid w:val="00287D6D"/>
    <w:pPr>
      <w:keepNext/>
      <w:keepLines/>
      <w:numPr>
        <w:ilvl w:val="2"/>
        <w:numId w:val="12"/>
      </w:numPr>
      <w:outlineLvl w:val="8"/>
    </w:pPr>
    <w:rPr>
      <w:rFonts w:asciiTheme="majorHAnsi" w:eastAsiaTheme="majorEastAsia" w:hAnsiTheme="majorHAnsi"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DGTableDefault">
    <w:name w:val="SDG Table Default"/>
    <w:basedOn w:val="TableNormal"/>
    <w:uiPriority w:val="16"/>
    <w:rsid w:val="00B751BC"/>
    <w:pPr>
      <w:spacing w:before="50" w:after="50" w:line="180" w:lineRule="atLeast"/>
    </w:pPr>
    <w:rPr>
      <w:sz w:val="18"/>
    </w:rPr>
    <w:tblPr>
      <w:tblStyleRowBandSize w:val="1"/>
      <w:tblInd w:w="108" w:type="dxa"/>
      <w:tblBorders>
        <w:bottom w:val="single" w:sz="18" w:space="0" w:color="57626E" w:themeColor="background2"/>
        <w:insideV w:val="single" w:sz="6" w:space="0" w:color="FFFFFF" w:themeColor="background1"/>
      </w:tblBorders>
    </w:tblPr>
    <w:trPr>
      <w:cantSplit/>
    </w:trPr>
    <w:tcPr>
      <w:vAlign w:val="center"/>
    </w:tcPr>
    <w:tblStylePr w:type="firstRow">
      <w:pPr>
        <w:keepNext/>
        <w:keepLines/>
        <w:wordWrap/>
      </w:pPr>
      <w:rPr>
        <w:b/>
        <w:color w:val="FFFFFF" w:themeColor="background1"/>
      </w:rPr>
      <w:tblPr/>
      <w:trPr>
        <w:tblHeader/>
      </w:trPr>
      <w:tcPr>
        <w:shd w:val="clear" w:color="auto" w:fill="57626E" w:themeFill="background2"/>
      </w:tcPr>
    </w:tblStylePr>
    <w:tblStylePr w:type="lastRow">
      <w:rPr>
        <w:b/>
      </w:rPr>
      <w:tblPr/>
      <w:tcPr>
        <w:tcBorders>
          <w:top w:val="single" w:sz="4" w:space="0" w:color="57626E" w:themeColor="background2"/>
          <w:left w:val="nil"/>
          <w:bottom w:val="single" w:sz="18" w:space="0" w:color="57626E" w:themeColor="background2"/>
          <w:right w:val="nil"/>
          <w:insideH w:val="nil"/>
          <w:insideV w:val="nil"/>
          <w:tl2br w:val="nil"/>
          <w:tr2bl w:val="nil"/>
        </w:tcBorders>
      </w:tcPr>
    </w:tblStylePr>
    <w:tblStylePr w:type="firstCol">
      <w:pPr>
        <w:jc w:val="left"/>
      </w:pPr>
    </w:tblStylePr>
    <w:tblStylePr w:type="band1Horz">
      <w:tblPr/>
      <w:tcPr>
        <w:shd w:val="clear" w:color="auto" w:fill="EFF6FA" w:themeFill="accent6"/>
      </w:tcPr>
    </w:tblStylePr>
  </w:style>
  <w:style w:type="character" w:customStyle="1" w:styleId="Heading3Char">
    <w:name w:val="Heading 3 Char"/>
    <w:basedOn w:val="DefaultParagraphFont"/>
    <w:link w:val="Heading3"/>
    <w:uiPriority w:val="4"/>
    <w:rsid w:val="00D8167D"/>
    <w:rPr>
      <w:rFonts w:asciiTheme="majorHAnsi" w:eastAsiaTheme="majorEastAsia" w:hAnsiTheme="majorHAnsi" w:cstheme="majorBidi"/>
      <w:b/>
      <w:bCs/>
    </w:rPr>
  </w:style>
  <w:style w:type="paragraph" w:styleId="Header">
    <w:name w:val="header"/>
    <w:link w:val="HeaderChar"/>
    <w:uiPriority w:val="99"/>
    <w:semiHidden/>
    <w:unhideWhenUsed/>
    <w:rsid w:val="000240EA"/>
    <w:pPr>
      <w:tabs>
        <w:tab w:val="center" w:pos="4513"/>
        <w:tab w:val="right" w:pos="9026"/>
      </w:tabs>
      <w:spacing w:after="0" w:line="200" w:lineRule="atLeast"/>
    </w:pPr>
    <w:rPr>
      <w:sz w:val="16"/>
    </w:rPr>
  </w:style>
  <w:style w:type="character" w:customStyle="1" w:styleId="HeaderChar">
    <w:name w:val="Header Char"/>
    <w:basedOn w:val="DefaultParagraphFont"/>
    <w:link w:val="Header"/>
    <w:uiPriority w:val="99"/>
    <w:rsid w:val="000240EA"/>
    <w:rPr>
      <w:sz w:val="16"/>
      <w:lang w:val="en-GB"/>
    </w:rPr>
  </w:style>
  <w:style w:type="paragraph" w:styleId="Footer">
    <w:name w:val="footer"/>
    <w:link w:val="FooterChar"/>
    <w:uiPriority w:val="99"/>
    <w:semiHidden/>
    <w:unhideWhenUsed/>
    <w:rsid w:val="000240EA"/>
    <w:pPr>
      <w:tabs>
        <w:tab w:val="center" w:pos="4513"/>
        <w:tab w:val="right" w:pos="9026"/>
      </w:tabs>
      <w:spacing w:after="0" w:line="200" w:lineRule="atLeast"/>
      <w:ind w:left="-125"/>
    </w:pPr>
    <w:rPr>
      <w:sz w:val="16"/>
    </w:rPr>
  </w:style>
  <w:style w:type="character" w:customStyle="1" w:styleId="FooterChar">
    <w:name w:val="Footer Char"/>
    <w:basedOn w:val="DefaultParagraphFont"/>
    <w:link w:val="Footer"/>
    <w:uiPriority w:val="99"/>
    <w:rsid w:val="000240EA"/>
    <w:rPr>
      <w:sz w:val="16"/>
      <w:lang w:val="en-GB"/>
    </w:rPr>
  </w:style>
  <w:style w:type="paragraph" w:styleId="BalloonText">
    <w:name w:val="Balloon Text"/>
    <w:basedOn w:val="Normal"/>
    <w:link w:val="BalloonTextChar"/>
    <w:uiPriority w:val="99"/>
    <w:semiHidden/>
    <w:unhideWhenUsed/>
    <w:rsid w:val="00397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A4D"/>
    <w:rPr>
      <w:rFonts w:ascii="Tahoma" w:hAnsi="Tahoma" w:cs="Tahoma"/>
      <w:sz w:val="16"/>
      <w:szCs w:val="16"/>
      <w:lang w:val="en-GB"/>
    </w:rPr>
  </w:style>
  <w:style w:type="character" w:styleId="PlaceholderText">
    <w:name w:val="Placeholder Text"/>
    <w:basedOn w:val="DefaultParagraphFont"/>
    <w:uiPriority w:val="99"/>
    <w:semiHidden/>
    <w:rsid w:val="00397A4D"/>
    <w:rPr>
      <w:color w:val="808080"/>
      <w:lang w:val="en-GB"/>
    </w:rPr>
  </w:style>
  <w:style w:type="character" w:customStyle="1" w:styleId="Heading1Char">
    <w:name w:val="Heading 1 Char"/>
    <w:basedOn w:val="DefaultParagraphFont"/>
    <w:link w:val="Heading1"/>
    <w:uiPriority w:val="2"/>
    <w:rsid w:val="00CE0D2C"/>
    <w:rPr>
      <w:rFonts w:asciiTheme="majorHAnsi" w:eastAsiaTheme="majorEastAsia" w:hAnsiTheme="majorHAnsi" w:cstheme="majorBidi"/>
      <w:bCs/>
      <w:sz w:val="56"/>
      <w:szCs w:val="28"/>
      <w:lang w:val="en-GB"/>
    </w:rPr>
  </w:style>
  <w:style w:type="numbering" w:customStyle="1" w:styleId="SDGHeadings">
    <w:name w:val="SDG Headings"/>
    <w:uiPriority w:val="99"/>
    <w:semiHidden/>
    <w:rsid w:val="00FD7839"/>
    <w:pPr>
      <w:numPr>
        <w:numId w:val="1"/>
      </w:numPr>
    </w:pPr>
  </w:style>
  <w:style w:type="character" w:customStyle="1" w:styleId="Heading2Char">
    <w:name w:val="Heading 2 Char"/>
    <w:basedOn w:val="DefaultParagraphFont"/>
    <w:link w:val="Heading2"/>
    <w:uiPriority w:val="3"/>
    <w:rsid w:val="00D0125D"/>
    <w:rPr>
      <w:rFonts w:asciiTheme="majorHAnsi" w:eastAsiaTheme="majorEastAsia" w:hAnsiTheme="majorHAnsi" w:cstheme="majorBidi"/>
      <w:b/>
      <w:bCs/>
      <w:color w:val="AE1031" w:themeColor="text2"/>
      <w:sz w:val="28"/>
      <w:szCs w:val="26"/>
      <w:lang w:val="en-GB"/>
    </w:rPr>
  </w:style>
  <w:style w:type="paragraph" w:styleId="ListBullet">
    <w:name w:val="List Bullet"/>
    <w:uiPriority w:val="7"/>
    <w:unhideWhenUsed/>
    <w:qFormat/>
    <w:rsid w:val="00241E98"/>
    <w:pPr>
      <w:numPr>
        <w:numId w:val="13"/>
      </w:numPr>
      <w:spacing w:before="120" w:after="120" w:line="264" w:lineRule="auto"/>
      <w:contextualSpacing/>
    </w:pPr>
  </w:style>
  <w:style w:type="paragraph" w:styleId="ListBullet2">
    <w:name w:val="List Bullet 2"/>
    <w:uiPriority w:val="8"/>
    <w:unhideWhenUsed/>
    <w:qFormat/>
    <w:rsid w:val="001E76C3"/>
    <w:pPr>
      <w:numPr>
        <w:ilvl w:val="1"/>
        <w:numId w:val="13"/>
      </w:numPr>
      <w:spacing w:after="0"/>
      <w:contextualSpacing/>
    </w:pPr>
  </w:style>
  <w:style w:type="paragraph" w:styleId="ListBullet3">
    <w:name w:val="List Bullet 3"/>
    <w:uiPriority w:val="9"/>
    <w:unhideWhenUsed/>
    <w:qFormat/>
    <w:rsid w:val="001E76C3"/>
    <w:pPr>
      <w:numPr>
        <w:ilvl w:val="2"/>
        <w:numId w:val="13"/>
      </w:numPr>
      <w:spacing w:after="0"/>
      <w:contextualSpacing/>
    </w:pPr>
  </w:style>
  <w:style w:type="numbering" w:customStyle="1" w:styleId="SDGBullets">
    <w:name w:val="SDG Bullets"/>
    <w:uiPriority w:val="99"/>
    <w:semiHidden/>
    <w:rsid w:val="001E76C3"/>
    <w:pPr>
      <w:numPr>
        <w:numId w:val="13"/>
      </w:numPr>
    </w:pPr>
  </w:style>
  <w:style w:type="table" w:styleId="TableGrid">
    <w:name w:val="Table Grid"/>
    <w:basedOn w:val="TableNormal"/>
    <w:semiHidden/>
    <w:rsid w:val="00865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13"/>
    <w:unhideWhenUsed/>
    <w:qFormat/>
    <w:rsid w:val="00323670"/>
    <w:pPr>
      <w:keepNext/>
      <w:tabs>
        <w:tab w:val="left" w:pos="1134"/>
      </w:tabs>
      <w:spacing w:line="220" w:lineRule="atLeast"/>
    </w:pPr>
    <w:rPr>
      <w:b/>
      <w:bCs/>
      <w:sz w:val="18"/>
      <w:szCs w:val="18"/>
    </w:rPr>
  </w:style>
  <w:style w:type="paragraph" w:customStyle="1" w:styleId="Source">
    <w:name w:val="Source"/>
    <w:next w:val="NormalNumbered"/>
    <w:uiPriority w:val="14"/>
    <w:qFormat/>
    <w:rsid w:val="00FB5137"/>
    <w:pPr>
      <w:spacing w:after="280" w:line="220" w:lineRule="atLeast"/>
    </w:pPr>
    <w:rPr>
      <w:sz w:val="18"/>
    </w:rPr>
  </w:style>
  <w:style w:type="paragraph" w:styleId="TOCHeading">
    <w:name w:val="TOC Heading"/>
    <w:next w:val="Normal"/>
    <w:uiPriority w:val="39"/>
    <w:semiHidden/>
    <w:unhideWhenUsed/>
    <w:rsid w:val="00012DC1"/>
    <w:pPr>
      <w:keepNext/>
      <w:spacing w:after="0"/>
    </w:pPr>
    <w:rPr>
      <w:rFonts w:asciiTheme="majorHAnsi" w:eastAsiaTheme="majorEastAsia" w:hAnsiTheme="majorHAnsi" w:cstheme="majorBidi"/>
      <w:b/>
      <w:bCs/>
      <w:color w:val="AE1031" w:themeColor="text2"/>
      <w:sz w:val="28"/>
      <w:szCs w:val="28"/>
    </w:rPr>
  </w:style>
  <w:style w:type="paragraph" w:styleId="TOC1">
    <w:name w:val="toc 1"/>
    <w:next w:val="Normal"/>
    <w:uiPriority w:val="39"/>
    <w:semiHidden/>
    <w:unhideWhenUsed/>
    <w:rsid w:val="00216329"/>
    <w:pPr>
      <w:spacing w:before="280" w:after="0"/>
      <w:ind w:hanging="567"/>
    </w:pPr>
    <w:rPr>
      <w:b/>
      <w:color w:val="57626E" w:themeColor="background2"/>
    </w:rPr>
  </w:style>
  <w:style w:type="paragraph" w:styleId="TOC2">
    <w:name w:val="toc 2"/>
    <w:next w:val="Normal"/>
    <w:uiPriority w:val="39"/>
    <w:semiHidden/>
    <w:unhideWhenUsed/>
    <w:rsid w:val="00216329"/>
    <w:pPr>
      <w:spacing w:after="0"/>
    </w:pPr>
    <w:rPr>
      <w:color w:val="57626E" w:themeColor="background2"/>
    </w:rPr>
  </w:style>
  <w:style w:type="character" w:styleId="Hyperlink">
    <w:name w:val="Hyperlink"/>
    <w:basedOn w:val="DefaultParagraphFont"/>
    <w:uiPriority w:val="99"/>
    <w:unhideWhenUsed/>
    <w:rsid w:val="002A3725"/>
    <w:rPr>
      <w:b/>
      <w:color w:val="404040" w:themeColor="text1" w:themeTint="BF"/>
      <w:u w:val="single"/>
      <w:lang w:val="en-GB"/>
    </w:rPr>
  </w:style>
  <w:style w:type="paragraph" w:styleId="TableofFigures">
    <w:name w:val="table of figures"/>
    <w:next w:val="Normal"/>
    <w:uiPriority w:val="99"/>
    <w:semiHidden/>
    <w:unhideWhenUsed/>
    <w:rsid w:val="00216329"/>
    <w:pPr>
      <w:spacing w:after="0"/>
    </w:pPr>
    <w:rPr>
      <w:color w:val="57626E" w:themeColor="background2"/>
    </w:rPr>
  </w:style>
  <w:style w:type="paragraph" w:styleId="Title">
    <w:name w:val="Title"/>
    <w:next w:val="Normal"/>
    <w:link w:val="TitleChar"/>
    <w:uiPriority w:val="10"/>
    <w:semiHidden/>
    <w:rsid w:val="004F0F35"/>
    <w:pPr>
      <w:spacing w:after="0"/>
      <w:contextualSpacing/>
    </w:pPr>
    <w:rPr>
      <w:rFonts w:asciiTheme="majorHAnsi" w:eastAsiaTheme="majorEastAsia" w:hAnsiTheme="majorHAnsi" w:cstheme="majorBidi"/>
      <w:spacing w:val="5"/>
      <w:kern w:val="28"/>
      <w:sz w:val="28"/>
      <w:szCs w:val="52"/>
    </w:rPr>
  </w:style>
  <w:style w:type="character" w:customStyle="1" w:styleId="TitleChar">
    <w:name w:val="Title Char"/>
    <w:basedOn w:val="DefaultParagraphFont"/>
    <w:link w:val="Title"/>
    <w:uiPriority w:val="10"/>
    <w:rsid w:val="004F0F35"/>
    <w:rPr>
      <w:rFonts w:asciiTheme="majorHAnsi" w:eastAsiaTheme="majorEastAsia" w:hAnsiTheme="majorHAnsi" w:cstheme="majorBidi"/>
      <w:spacing w:val="5"/>
      <w:kern w:val="28"/>
      <w:sz w:val="28"/>
      <w:szCs w:val="52"/>
      <w:lang w:val="en-GB"/>
    </w:rPr>
  </w:style>
  <w:style w:type="paragraph" w:customStyle="1" w:styleId="SDGCoveraddress">
    <w:name w:val="SDG Cover address"/>
    <w:basedOn w:val="Normal"/>
    <w:semiHidden/>
    <w:rsid w:val="00FD0A1C"/>
    <w:pPr>
      <w:spacing w:after="0" w:line="288" w:lineRule="auto"/>
    </w:pPr>
    <w:rPr>
      <w:rFonts w:eastAsia="Times New Roman" w:cs="Times New Roman"/>
      <w:sz w:val="18"/>
      <w:szCs w:val="24"/>
    </w:rPr>
  </w:style>
  <w:style w:type="paragraph" w:customStyle="1" w:styleId="NumberedParagraph">
    <w:name w:val="Numbered Paragraph"/>
    <w:basedOn w:val="Normal"/>
    <w:uiPriority w:val="3"/>
    <w:semiHidden/>
    <w:rsid w:val="001046CC"/>
  </w:style>
  <w:style w:type="numbering" w:styleId="111111">
    <w:name w:val="Outline List 2"/>
    <w:basedOn w:val="NoList"/>
    <w:uiPriority w:val="99"/>
    <w:semiHidden/>
    <w:unhideWhenUsed/>
    <w:rsid w:val="00B91810"/>
    <w:pPr>
      <w:numPr>
        <w:numId w:val="3"/>
      </w:numPr>
    </w:pPr>
  </w:style>
  <w:style w:type="numbering" w:styleId="1ai">
    <w:name w:val="Outline List 1"/>
    <w:basedOn w:val="NoList"/>
    <w:uiPriority w:val="99"/>
    <w:semiHidden/>
    <w:unhideWhenUsed/>
    <w:rsid w:val="00B91810"/>
    <w:pPr>
      <w:numPr>
        <w:numId w:val="4"/>
      </w:numPr>
    </w:pPr>
  </w:style>
  <w:style w:type="character" w:customStyle="1" w:styleId="Heading4Char">
    <w:name w:val="Heading 4 Char"/>
    <w:basedOn w:val="DefaultParagraphFont"/>
    <w:link w:val="Heading4"/>
    <w:uiPriority w:val="5"/>
    <w:rsid w:val="00E07F5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91810"/>
    <w:rPr>
      <w:rFonts w:asciiTheme="majorHAnsi" w:eastAsiaTheme="majorEastAsia" w:hAnsiTheme="majorHAnsi" w:cstheme="majorBidi"/>
      <w:color w:val="325D75" w:themeColor="accent1" w:themeShade="7F"/>
      <w:lang w:val="en-GB"/>
    </w:rPr>
  </w:style>
  <w:style w:type="character" w:customStyle="1" w:styleId="Heading6Char">
    <w:name w:val="Heading 6 Char"/>
    <w:basedOn w:val="DefaultParagraphFont"/>
    <w:link w:val="Heading6"/>
    <w:uiPriority w:val="9"/>
    <w:semiHidden/>
    <w:rsid w:val="00B91810"/>
    <w:rPr>
      <w:rFonts w:asciiTheme="majorHAnsi" w:eastAsiaTheme="majorEastAsia" w:hAnsiTheme="majorHAnsi" w:cstheme="majorBidi"/>
      <w:i/>
      <w:iCs/>
      <w:color w:val="325D75" w:themeColor="accent1" w:themeShade="7F"/>
      <w:lang w:val="en-GB"/>
    </w:rPr>
  </w:style>
  <w:style w:type="character" w:customStyle="1" w:styleId="Heading7Char">
    <w:name w:val="Heading 7 Char"/>
    <w:aliases w:val="Appendix 1 Char"/>
    <w:basedOn w:val="DefaultParagraphFont"/>
    <w:link w:val="Heading7"/>
    <w:uiPriority w:val="16"/>
    <w:semiHidden/>
    <w:rsid w:val="00216329"/>
    <w:rPr>
      <w:rFonts w:asciiTheme="majorHAnsi" w:eastAsiaTheme="majorEastAsia" w:hAnsiTheme="majorHAnsi" w:cstheme="majorBidi"/>
      <w:iCs/>
      <w:color w:val="57626E" w:themeColor="background2"/>
      <w:sz w:val="56"/>
      <w:lang w:val="en-GB"/>
    </w:rPr>
  </w:style>
  <w:style w:type="character" w:customStyle="1" w:styleId="Heading8Char">
    <w:name w:val="Heading 8 Char"/>
    <w:aliases w:val="Appendix 2 Char"/>
    <w:basedOn w:val="DefaultParagraphFont"/>
    <w:link w:val="Heading8"/>
    <w:uiPriority w:val="13"/>
    <w:semiHidden/>
    <w:rsid w:val="00494682"/>
    <w:rPr>
      <w:rFonts w:asciiTheme="majorHAnsi" w:eastAsiaTheme="majorEastAsia" w:hAnsiTheme="majorHAnsi" w:cstheme="majorBidi"/>
      <w:b/>
      <w:color w:val="AE1031" w:themeColor="text2"/>
      <w:sz w:val="28"/>
      <w:szCs w:val="20"/>
      <w:lang w:val="en-GB"/>
    </w:rPr>
  </w:style>
  <w:style w:type="character" w:customStyle="1" w:styleId="Heading9Char">
    <w:name w:val="Heading 9 Char"/>
    <w:aliases w:val="Appendix 3 Char"/>
    <w:basedOn w:val="DefaultParagraphFont"/>
    <w:link w:val="Heading9"/>
    <w:uiPriority w:val="14"/>
    <w:semiHidden/>
    <w:rsid w:val="00F43296"/>
    <w:rPr>
      <w:rFonts w:asciiTheme="majorHAnsi" w:eastAsiaTheme="majorEastAsia" w:hAnsiTheme="majorHAnsi" w:cstheme="majorBidi"/>
      <w:b/>
      <w:iCs/>
      <w:szCs w:val="20"/>
      <w:lang w:val="en-GB"/>
    </w:rPr>
  </w:style>
  <w:style w:type="numbering" w:styleId="ArticleSection">
    <w:name w:val="Outline List 3"/>
    <w:basedOn w:val="NoList"/>
    <w:uiPriority w:val="99"/>
    <w:semiHidden/>
    <w:unhideWhenUsed/>
    <w:rsid w:val="00B91810"/>
    <w:pPr>
      <w:numPr>
        <w:numId w:val="5"/>
      </w:numPr>
    </w:pPr>
  </w:style>
  <w:style w:type="paragraph" w:styleId="Bibliography">
    <w:name w:val="Bibliography"/>
    <w:basedOn w:val="Normal"/>
    <w:next w:val="Normal"/>
    <w:uiPriority w:val="37"/>
    <w:semiHidden/>
    <w:unhideWhenUsed/>
    <w:rsid w:val="00B91810"/>
  </w:style>
  <w:style w:type="paragraph" w:styleId="BlockText">
    <w:name w:val="Block Text"/>
    <w:basedOn w:val="Normal"/>
    <w:uiPriority w:val="99"/>
    <w:semiHidden/>
    <w:unhideWhenUsed/>
    <w:rsid w:val="00B91810"/>
    <w:pPr>
      <w:pBdr>
        <w:top w:val="single" w:sz="2" w:space="10" w:color="86B3CB" w:themeColor="accent1" w:frame="1"/>
        <w:left w:val="single" w:sz="2" w:space="10" w:color="86B3CB" w:themeColor="accent1" w:frame="1"/>
        <w:bottom w:val="single" w:sz="2" w:space="10" w:color="86B3CB" w:themeColor="accent1" w:frame="1"/>
        <w:right w:val="single" w:sz="2" w:space="10" w:color="86B3CB" w:themeColor="accent1" w:frame="1"/>
      </w:pBdr>
      <w:ind w:left="1152" w:right="1152"/>
    </w:pPr>
    <w:rPr>
      <w:rFonts w:eastAsiaTheme="minorEastAsia"/>
      <w:i/>
      <w:iCs/>
      <w:color w:val="86B3CB" w:themeColor="accent1"/>
    </w:rPr>
  </w:style>
  <w:style w:type="paragraph" w:styleId="BodyText">
    <w:name w:val="Body Text"/>
    <w:basedOn w:val="Normal"/>
    <w:link w:val="BodyTextChar"/>
    <w:uiPriority w:val="99"/>
    <w:semiHidden/>
    <w:unhideWhenUsed/>
    <w:rsid w:val="00B91810"/>
  </w:style>
  <w:style w:type="character" w:customStyle="1" w:styleId="BodyTextChar">
    <w:name w:val="Body Text Char"/>
    <w:basedOn w:val="DefaultParagraphFont"/>
    <w:link w:val="BodyText"/>
    <w:uiPriority w:val="99"/>
    <w:semiHidden/>
    <w:rsid w:val="00B91810"/>
    <w:rPr>
      <w:lang w:val="en-GB"/>
    </w:rPr>
  </w:style>
  <w:style w:type="paragraph" w:styleId="BodyText2">
    <w:name w:val="Body Text 2"/>
    <w:basedOn w:val="Normal"/>
    <w:link w:val="BodyText2Char"/>
    <w:uiPriority w:val="99"/>
    <w:semiHidden/>
    <w:unhideWhenUsed/>
    <w:rsid w:val="00B91810"/>
    <w:pPr>
      <w:spacing w:line="480" w:lineRule="auto"/>
    </w:pPr>
  </w:style>
  <w:style w:type="character" w:customStyle="1" w:styleId="BodyText2Char">
    <w:name w:val="Body Text 2 Char"/>
    <w:basedOn w:val="DefaultParagraphFont"/>
    <w:link w:val="BodyText2"/>
    <w:uiPriority w:val="99"/>
    <w:semiHidden/>
    <w:rsid w:val="00B91810"/>
    <w:rPr>
      <w:lang w:val="en-GB"/>
    </w:rPr>
  </w:style>
  <w:style w:type="paragraph" w:styleId="BodyText3">
    <w:name w:val="Body Text 3"/>
    <w:basedOn w:val="Normal"/>
    <w:link w:val="BodyText3Char"/>
    <w:uiPriority w:val="99"/>
    <w:semiHidden/>
    <w:unhideWhenUsed/>
    <w:rsid w:val="00B91810"/>
    <w:rPr>
      <w:sz w:val="16"/>
      <w:szCs w:val="16"/>
    </w:rPr>
  </w:style>
  <w:style w:type="character" w:customStyle="1" w:styleId="BodyText3Char">
    <w:name w:val="Body Text 3 Char"/>
    <w:basedOn w:val="DefaultParagraphFont"/>
    <w:link w:val="BodyText3"/>
    <w:uiPriority w:val="99"/>
    <w:semiHidden/>
    <w:rsid w:val="00B91810"/>
    <w:rPr>
      <w:sz w:val="16"/>
      <w:szCs w:val="16"/>
      <w:lang w:val="en-GB"/>
    </w:rPr>
  </w:style>
  <w:style w:type="paragraph" w:styleId="BodyTextFirstIndent">
    <w:name w:val="Body Text First Indent"/>
    <w:basedOn w:val="BodyText"/>
    <w:link w:val="BodyTextFirstIndentChar"/>
    <w:uiPriority w:val="99"/>
    <w:semiHidden/>
    <w:unhideWhenUsed/>
    <w:rsid w:val="00B91810"/>
    <w:pPr>
      <w:spacing w:after="42"/>
      <w:ind w:firstLine="360"/>
    </w:pPr>
  </w:style>
  <w:style w:type="character" w:customStyle="1" w:styleId="BodyTextFirstIndentChar">
    <w:name w:val="Body Text First Indent Char"/>
    <w:basedOn w:val="BodyTextChar"/>
    <w:link w:val="BodyTextFirstIndent"/>
    <w:uiPriority w:val="99"/>
    <w:semiHidden/>
    <w:rsid w:val="00B91810"/>
    <w:rPr>
      <w:lang w:val="en-GB"/>
    </w:rPr>
  </w:style>
  <w:style w:type="paragraph" w:styleId="BodyTextIndent">
    <w:name w:val="Body Text Indent"/>
    <w:basedOn w:val="Normal"/>
    <w:link w:val="BodyTextIndentChar"/>
    <w:uiPriority w:val="99"/>
    <w:semiHidden/>
    <w:unhideWhenUsed/>
    <w:rsid w:val="00B91810"/>
    <w:pPr>
      <w:ind w:left="283"/>
    </w:pPr>
  </w:style>
  <w:style w:type="character" w:customStyle="1" w:styleId="BodyTextIndentChar">
    <w:name w:val="Body Text Indent Char"/>
    <w:basedOn w:val="DefaultParagraphFont"/>
    <w:link w:val="BodyTextIndent"/>
    <w:uiPriority w:val="99"/>
    <w:semiHidden/>
    <w:rsid w:val="00B91810"/>
    <w:rPr>
      <w:lang w:val="en-GB"/>
    </w:rPr>
  </w:style>
  <w:style w:type="paragraph" w:styleId="BodyTextFirstIndent2">
    <w:name w:val="Body Text First Indent 2"/>
    <w:basedOn w:val="BodyTextIndent"/>
    <w:link w:val="BodyTextFirstIndent2Char"/>
    <w:uiPriority w:val="99"/>
    <w:semiHidden/>
    <w:unhideWhenUsed/>
    <w:rsid w:val="00B91810"/>
    <w:pPr>
      <w:spacing w:after="42"/>
      <w:ind w:left="360" w:firstLine="360"/>
    </w:pPr>
  </w:style>
  <w:style w:type="character" w:customStyle="1" w:styleId="BodyTextFirstIndent2Char">
    <w:name w:val="Body Text First Indent 2 Char"/>
    <w:basedOn w:val="BodyTextIndentChar"/>
    <w:link w:val="BodyTextFirstIndent2"/>
    <w:uiPriority w:val="99"/>
    <w:semiHidden/>
    <w:rsid w:val="00B91810"/>
    <w:rPr>
      <w:lang w:val="en-GB"/>
    </w:rPr>
  </w:style>
  <w:style w:type="paragraph" w:styleId="BodyTextIndent2">
    <w:name w:val="Body Text Indent 2"/>
    <w:basedOn w:val="Normal"/>
    <w:link w:val="BodyTextIndent2Char"/>
    <w:uiPriority w:val="99"/>
    <w:semiHidden/>
    <w:unhideWhenUsed/>
    <w:rsid w:val="00B91810"/>
    <w:pPr>
      <w:spacing w:line="480" w:lineRule="auto"/>
      <w:ind w:left="283"/>
    </w:pPr>
  </w:style>
  <w:style w:type="character" w:customStyle="1" w:styleId="BodyTextIndent2Char">
    <w:name w:val="Body Text Indent 2 Char"/>
    <w:basedOn w:val="DefaultParagraphFont"/>
    <w:link w:val="BodyTextIndent2"/>
    <w:uiPriority w:val="99"/>
    <w:semiHidden/>
    <w:rsid w:val="00B91810"/>
    <w:rPr>
      <w:lang w:val="en-GB"/>
    </w:rPr>
  </w:style>
  <w:style w:type="paragraph" w:styleId="BodyTextIndent3">
    <w:name w:val="Body Text Indent 3"/>
    <w:basedOn w:val="Normal"/>
    <w:link w:val="BodyTextIndent3Char"/>
    <w:uiPriority w:val="99"/>
    <w:semiHidden/>
    <w:unhideWhenUsed/>
    <w:rsid w:val="00B91810"/>
    <w:pPr>
      <w:ind w:left="283"/>
    </w:pPr>
    <w:rPr>
      <w:sz w:val="16"/>
      <w:szCs w:val="16"/>
    </w:rPr>
  </w:style>
  <w:style w:type="character" w:customStyle="1" w:styleId="BodyTextIndent3Char">
    <w:name w:val="Body Text Indent 3 Char"/>
    <w:basedOn w:val="DefaultParagraphFont"/>
    <w:link w:val="BodyTextIndent3"/>
    <w:uiPriority w:val="99"/>
    <w:semiHidden/>
    <w:rsid w:val="00B91810"/>
    <w:rPr>
      <w:sz w:val="16"/>
      <w:szCs w:val="16"/>
      <w:lang w:val="en-GB"/>
    </w:rPr>
  </w:style>
  <w:style w:type="character" w:styleId="BookTitle">
    <w:name w:val="Book Title"/>
    <w:basedOn w:val="DefaultParagraphFont"/>
    <w:uiPriority w:val="33"/>
    <w:semiHidden/>
    <w:rsid w:val="00B91810"/>
    <w:rPr>
      <w:b/>
      <w:bCs/>
      <w:smallCaps/>
      <w:spacing w:val="5"/>
      <w:lang w:val="en-GB"/>
    </w:rPr>
  </w:style>
  <w:style w:type="paragraph" w:styleId="Closing">
    <w:name w:val="Closing"/>
    <w:basedOn w:val="Normal"/>
    <w:link w:val="ClosingChar"/>
    <w:uiPriority w:val="99"/>
    <w:semiHidden/>
    <w:unhideWhenUsed/>
    <w:rsid w:val="00B91810"/>
    <w:pPr>
      <w:spacing w:after="0" w:line="240" w:lineRule="auto"/>
      <w:ind w:left="4252"/>
    </w:pPr>
  </w:style>
  <w:style w:type="character" w:customStyle="1" w:styleId="ClosingChar">
    <w:name w:val="Closing Char"/>
    <w:basedOn w:val="DefaultParagraphFont"/>
    <w:link w:val="Closing"/>
    <w:uiPriority w:val="99"/>
    <w:semiHidden/>
    <w:rsid w:val="00B91810"/>
    <w:rPr>
      <w:lang w:val="en-GB"/>
    </w:rPr>
  </w:style>
  <w:style w:type="table" w:styleId="ColorfulGrid">
    <w:name w:val="Colorful Grid"/>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E6EFF4" w:themeFill="accent1" w:themeFillTint="33"/>
    </w:tcPr>
    <w:tblStylePr w:type="firstRow">
      <w:rPr>
        <w:b/>
        <w:bCs/>
      </w:rPr>
      <w:tblPr/>
      <w:tcPr>
        <w:shd w:val="clear" w:color="auto" w:fill="CEE0EA" w:themeFill="accent1" w:themeFillTint="66"/>
      </w:tcPr>
    </w:tblStylePr>
    <w:tblStylePr w:type="lastRow">
      <w:rPr>
        <w:b/>
        <w:bCs/>
        <w:color w:val="000000" w:themeColor="text1"/>
      </w:rPr>
      <w:tblPr/>
      <w:tcPr>
        <w:shd w:val="clear" w:color="auto" w:fill="CEE0EA" w:themeFill="accent1" w:themeFillTint="66"/>
      </w:tcPr>
    </w:tblStylePr>
    <w:tblStylePr w:type="firstCol">
      <w:rPr>
        <w:color w:val="FFFFFF" w:themeColor="background1"/>
      </w:rPr>
      <w:tblPr/>
      <w:tcPr>
        <w:shd w:val="clear" w:color="auto" w:fill="4C8DB0" w:themeFill="accent1" w:themeFillShade="BF"/>
      </w:tcPr>
    </w:tblStylePr>
    <w:tblStylePr w:type="lastCol">
      <w:rPr>
        <w:color w:val="FFFFFF" w:themeColor="background1"/>
      </w:rPr>
      <w:tblPr/>
      <w:tcPr>
        <w:shd w:val="clear" w:color="auto" w:fill="4C8DB0" w:themeFill="accent1" w:themeFillShade="BF"/>
      </w:tcPr>
    </w:tblStylePr>
    <w:tblStylePr w:type="band1Vert">
      <w:tblPr/>
      <w:tcPr>
        <w:shd w:val="clear" w:color="auto" w:fill="C2D9E5" w:themeFill="accent1" w:themeFillTint="7F"/>
      </w:tcPr>
    </w:tblStylePr>
    <w:tblStylePr w:type="band1Horz">
      <w:tblPr/>
      <w:tcPr>
        <w:shd w:val="clear" w:color="auto" w:fill="C2D9E5" w:themeFill="accent1" w:themeFillTint="7F"/>
      </w:tcPr>
    </w:tblStylePr>
  </w:style>
  <w:style w:type="table" w:styleId="ColorfulGrid-Accent2">
    <w:name w:val="Colorful Grid Accent 2"/>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E9E0EA" w:themeFill="accent2" w:themeFillTint="33"/>
    </w:tcPr>
    <w:tblStylePr w:type="firstRow">
      <w:rPr>
        <w:b/>
        <w:bCs/>
      </w:rPr>
      <w:tblPr/>
      <w:tcPr>
        <w:shd w:val="clear" w:color="auto" w:fill="D3C2D6" w:themeFill="accent2" w:themeFillTint="66"/>
      </w:tcPr>
    </w:tblStylePr>
    <w:tblStylePr w:type="lastRow">
      <w:rPr>
        <w:b/>
        <w:bCs/>
        <w:color w:val="000000" w:themeColor="text1"/>
      </w:rPr>
      <w:tblPr/>
      <w:tcPr>
        <w:shd w:val="clear" w:color="auto" w:fill="D3C2D6" w:themeFill="accent2" w:themeFillTint="66"/>
      </w:tcPr>
    </w:tblStylePr>
    <w:tblStylePr w:type="firstCol">
      <w:rPr>
        <w:color w:val="FFFFFF" w:themeColor="background1"/>
      </w:rPr>
      <w:tblPr/>
      <w:tcPr>
        <w:shd w:val="clear" w:color="auto" w:fill="6D4D72" w:themeFill="accent2" w:themeFillShade="BF"/>
      </w:tcPr>
    </w:tblStylePr>
    <w:tblStylePr w:type="lastCol">
      <w:rPr>
        <w:color w:val="FFFFFF" w:themeColor="background1"/>
      </w:rPr>
      <w:tblPr/>
      <w:tcPr>
        <w:shd w:val="clear" w:color="auto" w:fill="6D4D72" w:themeFill="accent2" w:themeFillShade="BF"/>
      </w:tcPr>
    </w:tblStylePr>
    <w:tblStylePr w:type="band1Vert">
      <w:tblPr/>
      <w:tcPr>
        <w:shd w:val="clear" w:color="auto" w:fill="C8B3CC" w:themeFill="accent2" w:themeFillTint="7F"/>
      </w:tcPr>
    </w:tblStylePr>
    <w:tblStylePr w:type="band1Horz">
      <w:tblPr/>
      <w:tcPr>
        <w:shd w:val="clear" w:color="auto" w:fill="C8B3CC" w:themeFill="accent2" w:themeFillTint="7F"/>
      </w:tcPr>
    </w:tblStylePr>
  </w:style>
  <w:style w:type="table" w:styleId="ColorfulGrid-Accent3">
    <w:name w:val="Colorful Grid Accent 3"/>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E4F3E3" w:themeFill="accent3" w:themeFillTint="33"/>
    </w:tcPr>
    <w:tblStylePr w:type="firstRow">
      <w:rPr>
        <w:b/>
        <w:bCs/>
      </w:rPr>
      <w:tblPr/>
      <w:tcPr>
        <w:shd w:val="clear" w:color="auto" w:fill="CAE7C7" w:themeFill="accent3" w:themeFillTint="66"/>
      </w:tcPr>
    </w:tblStylePr>
    <w:tblStylePr w:type="lastRow">
      <w:rPr>
        <w:b/>
        <w:bCs/>
        <w:color w:val="000000" w:themeColor="text1"/>
      </w:rPr>
      <w:tblPr/>
      <w:tcPr>
        <w:shd w:val="clear" w:color="auto" w:fill="CAE7C7" w:themeFill="accent3" w:themeFillTint="66"/>
      </w:tcPr>
    </w:tblStylePr>
    <w:tblStylePr w:type="firstCol">
      <w:rPr>
        <w:color w:val="FFFFFF" w:themeColor="background1"/>
      </w:rPr>
      <w:tblPr/>
      <w:tcPr>
        <w:shd w:val="clear" w:color="auto" w:fill="4FA545" w:themeFill="accent3" w:themeFillShade="BF"/>
      </w:tcPr>
    </w:tblStylePr>
    <w:tblStylePr w:type="lastCol">
      <w:rPr>
        <w:color w:val="FFFFFF" w:themeColor="background1"/>
      </w:rPr>
      <w:tblPr/>
      <w:tcPr>
        <w:shd w:val="clear" w:color="auto" w:fill="4FA545" w:themeFill="accent3" w:themeFillShade="BF"/>
      </w:tcPr>
    </w:tblStylePr>
    <w:tblStylePr w:type="band1Vert">
      <w:tblPr/>
      <w:tcPr>
        <w:shd w:val="clear" w:color="auto" w:fill="BDE2B9" w:themeFill="accent3" w:themeFillTint="7F"/>
      </w:tcPr>
    </w:tblStylePr>
    <w:tblStylePr w:type="band1Horz">
      <w:tblPr/>
      <w:tcPr>
        <w:shd w:val="clear" w:color="auto" w:fill="BDE2B9" w:themeFill="accent3" w:themeFillTint="7F"/>
      </w:tcPr>
    </w:tblStylePr>
  </w:style>
  <w:style w:type="table" w:styleId="ColorfulGrid-Accent4">
    <w:name w:val="Colorful Grid Accent 4"/>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DEAD4" w:themeFill="accent4" w:themeFillTint="33"/>
    </w:tcPr>
    <w:tblStylePr w:type="firstRow">
      <w:rPr>
        <w:b/>
        <w:bCs/>
      </w:rPr>
      <w:tblPr/>
      <w:tcPr>
        <w:shd w:val="clear" w:color="auto" w:fill="FCD5AA" w:themeFill="accent4" w:themeFillTint="66"/>
      </w:tcPr>
    </w:tblStylePr>
    <w:tblStylePr w:type="lastRow">
      <w:rPr>
        <w:b/>
        <w:bCs/>
        <w:color w:val="000000" w:themeColor="text1"/>
      </w:rPr>
      <w:tblPr/>
      <w:tcPr>
        <w:shd w:val="clear" w:color="auto" w:fill="FCD5AA" w:themeFill="accent4" w:themeFillTint="66"/>
      </w:tcPr>
    </w:tblStylePr>
    <w:tblStylePr w:type="firstCol">
      <w:rPr>
        <w:color w:val="FFFFFF" w:themeColor="background1"/>
      </w:rPr>
      <w:tblPr/>
      <w:tcPr>
        <w:shd w:val="clear" w:color="auto" w:fill="D47207" w:themeFill="accent4" w:themeFillShade="BF"/>
      </w:tcPr>
    </w:tblStylePr>
    <w:tblStylePr w:type="lastCol">
      <w:rPr>
        <w:color w:val="FFFFFF" w:themeColor="background1"/>
      </w:rPr>
      <w:tblPr/>
      <w:tcPr>
        <w:shd w:val="clear" w:color="auto" w:fill="D47207" w:themeFill="accent4" w:themeFillShade="BF"/>
      </w:tcPr>
    </w:tblStylePr>
    <w:tblStylePr w:type="band1Vert">
      <w:tblPr/>
      <w:tcPr>
        <w:shd w:val="clear" w:color="auto" w:fill="FBCB96" w:themeFill="accent4" w:themeFillTint="7F"/>
      </w:tcPr>
    </w:tblStylePr>
    <w:tblStylePr w:type="band1Horz">
      <w:tblPr/>
      <w:tcPr>
        <w:shd w:val="clear" w:color="auto" w:fill="FBCB96" w:themeFill="accent4" w:themeFillTint="7F"/>
      </w:tcPr>
    </w:tblStylePr>
  </w:style>
  <w:style w:type="table" w:styleId="ColorfulGrid-Accent5">
    <w:name w:val="Colorful Grid Accent 5"/>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D2EFEE" w:themeFill="accent5" w:themeFillTint="33"/>
    </w:tcPr>
    <w:tblStylePr w:type="firstRow">
      <w:rPr>
        <w:b/>
        <w:bCs/>
      </w:rPr>
      <w:tblPr/>
      <w:tcPr>
        <w:shd w:val="clear" w:color="auto" w:fill="A5DFDE" w:themeFill="accent5" w:themeFillTint="66"/>
      </w:tcPr>
    </w:tblStylePr>
    <w:tblStylePr w:type="lastRow">
      <w:rPr>
        <w:b/>
        <w:bCs/>
        <w:color w:val="000000" w:themeColor="text1"/>
      </w:rPr>
      <w:tblPr/>
      <w:tcPr>
        <w:shd w:val="clear" w:color="auto" w:fill="A5DFDE" w:themeFill="accent5" w:themeFillTint="66"/>
      </w:tcPr>
    </w:tblStylePr>
    <w:tblStylePr w:type="firstCol">
      <w:rPr>
        <w:color w:val="FFFFFF" w:themeColor="background1"/>
      </w:rPr>
      <w:tblPr/>
      <w:tcPr>
        <w:shd w:val="clear" w:color="auto" w:fill="287371" w:themeFill="accent5" w:themeFillShade="BF"/>
      </w:tcPr>
    </w:tblStylePr>
    <w:tblStylePr w:type="lastCol">
      <w:rPr>
        <w:color w:val="FFFFFF" w:themeColor="background1"/>
      </w:rPr>
      <w:tblPr/>
      <w:tcPr>
        <w:shd w:val="clear" w:color="auto" w:fill="287371" w:themeFill="accent5" w:themeFillShade="BF"/>
      </w:tcPr>
    </w:tblStylePr>
    <w:tblStylePr w:type="band1Vert">
      <w:tblPr/>
      <w:tcPr>
        <w:shd w:val="clear" w:color="auto" w:fill="8FD8D6" w:themeFill="accent5" w:themeFillTint="7F"/>
      </w:tcPr>
    </w:tblStylePr>
    <w:tblStylePr w:type="band1Horz">
      <w:tblPr/>
      <w:tcPr>
        <w:shd w:val="clear" w:color="auto" w:fill="8FD8D6" w:themeFill="accent5" w:themeFillTint="7F"/>
      </w:tcPr>
    </w:tblStylePr>
  </w:style>
  <w:style w:type="table" w:styleId="ColorfulGrid-Accent6">
    <w:name w:val="Colorful Grid Accent 6"/>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BFDFE" w:themeFill="accent6" w:themeFillTint="33"/>
    </w:tcPr>
    <w:tblStylePr w:type="firstRow">
      <w:rPr>
        <w:b/>
        <w:bCs/>
      </w:rPr>
      <w:tblPr/>
      <w:tcPr>
        <w:shd w:val="clear" w:color="auto" w:fill="F8FBFD" w:themeFill="accent6" w:themeFillTint="66"/>
      </w:tcPr>
    </w:tblStylePr>
    <w:tblStylePr w:type="lastRow">
      <w:rPr>
        <w:b/>
        <w:bCs/>
        <w:color w:val="000000" w:themeColor="text1"/>
      </w:rPr>
      <w:tblPr/>
      <w:tcPr>
        <w:shd w:val="clear" w:color="auto" w:fill="F8FBFD" w:themeFill="accent6" w:themeFillTint="66"/>
      </w:tcPr>
    </w:tblStylePr>
    <w:tblStylePr w:type="firstCol">
      <w:rPr>
        <w:color w:val="FFFFFF" w:themeColor="background1"/>
      </w:rPr>
      <w:tblPr/>
      <w:tcPr>
        <w:shd w:val="clear" w:color="auto" w:fill="91C1DC" w:themeFill="accent6" w:themeFillShade="BF"/>
      </w:tcPr>
    </w:tblStylePr>
    <w:tblStylePr w:type="lastCol">
      <w:rPr>
        <w:color w:val="FFFFFF" w:themeColor="background1"/>
      </w:rPr>
      <w:tblPr/>
      <w:tcPr>
        <w:shd w:val="clear" w:color="auto" w:fill="91C1DC" w:themeFill="accent6" w:themeFillShade="BF"/>
      </w:tcPr>
    </w:tblStylePr>
    <w:tblStylePr w:type="band1Vert">
      <w:tblPr/>
      <w:tcPr>
        <w:shd w:val="clear" w:color="auto" w:fill="F6FAFC" w:themeFill="accent6" w:themeFillTint="7F"/>
      </w:tcPr>
    </w:tblStylePr>
    <w:tblStylePr w:type="band1Horz">
      <w:tblPr/>
      <w:tcPr>
        <w:shd w:val="clear" w:color="auto" w:fill="F6FAFC" w:themeFill="accent6" w:themeFillTint="7F"/>
      </w:tcPr>
    </w:tblStylePr>
  </w:style>
  <w:style w:type="table" w:styleId="ColorfulList">
    <w:name w:val="Colorful List"/>
    <w:basedOn w:val="TableNormal"/>
    <w:uiPriority w:val="72"/>
    <w:semiHidden/>
    <w:rsid w:val="00B9181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4527A" w:themeFill="accent2" w:themeFillShade="CC"/>
      </w:tcPr>
    </w:tblStylePr>
    <w:tblStylePr w:type="lastRow">
      <w:rPr>
        <w:b/>
        <w:bCs/>
        <w:color w:val="7452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B91810"/>
    <w:pPr>
      <w:spacing w:after="0" w:line="240" w:lineRule="auto"/>
    </w:pPr>
    <w:tblPr>
      <w:tblStyleRowBandSize w:val="1"/>
      <w:tblStyleColBandSize w:val="1"/>
    </w:tblPr>
    <w:tcPr>
      <w:shd w:val="clear" w:color="auto" w:fill="F3F7FA" w:themeFill="accent1" w:themeFillTint="19"/>
    </w:tcPr>
    <w:tblStylePr w:type="firstRow">
      <w:rPr>
        <w:b/>
        <w:bCs/>
        <w:color w:val="FFFFFF" w:themeColor="background1"/>
      </w:rPr>
      <w:tblPr/>
      <w:tcPr>
        <w:tcBorders>
          <w:bottom w:val="single" w:sz="12" w:space="0" w:color="FFFFFF" w:themeColor="background1"/>
        </w:tcBorders>
        <w:shd w:val="clear" w:color="auto" w:fill="74527A" w:themeFill="accent2" w:themeFillShade="CC"/>
      </w:tcPr>
    </w:tblStylePr>
    <w:tblStylePr w:type="lastRow">
      <w:rPr>
        <w:b/>
        <w:bCs/>
        <w:color w:val="7452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CF2" w:themeFill="accent1" w:themeFillTint="3F"/>
      </w:tcPr>
    </w:tblStylePr>
    <w:tblStylePr w:type="band1Horz">
      <w:tblPr/>
      <w:tcPr>
        <w:shd w:val="clear" w:color="auto" w:fill="E6EFF4" w:themeFill="accent1" w:themeFillTint="33"/>
      </w:tcPr>
    </w:tblStylePr>
  </w:style>
  <w:style w:type="table" w:styleId="ColorfulList-Accent2">
    <w:name w:val="Colorful List Accent 2"/>
    <w:basedOn w:val="TableNormal"/>
    <w:uiPriority w:val="72"/>
    <w:semiHidden/>
    <w:rsid w:val="00B91810"/>
    <w:pPr>
      <w:spacing w:after="0" w:line="240" w:lineRule="auto"/>
    </w:pPr>
    <w:tblPr>
      <w:tblStyleRowBandSize w:val="1"/>
      <w:tblStyleColBandSize w:val="1"/>
    </w:tblPr>
    <w:tcPr>
      <w:shd w:val="clear" w:color="auto" w:fill="F4F0F5" w:themeFill="accent2" w:themeFillTint="19"/>
    </w:tcPr>
    <w:tblStylePr w:type="firstRow">
      <w:rPr>
        <w:b/>
        <w:bCs/>
        <w:color w:val="FFFFFF" w:themeColor="background1"/>
      </w:rPr>
      <w:tblPr/>
      <w:tcPr>
        <w:tcBorders>
          <w:bottom w:val="single" w:sz="12" w:space="0" w:color="FFFFFF" w:themeColor="background1"/>
        </w:tcBorders>
        <w:shd w:val="clear" w:color="auto" w:fill="74527A" w:themeFill="accent2" w:themeFillShade="CC"/>
      </w:tcPr>
    </w:tblStylePr>
    <w:tblStylePr w:type="lastRow">
      <w:rPr>
        <w:b/>
        <w:bCs/>
        <w:color w:val="7452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9E5" w:themeFill="accent2" w:themeFillTint="3F"/>
      </w:tcPr>
    </w:tblStylePr>
    <w:tblStylePr w:type="band1Horz">
      <w:tblPr/>
      <w:tcPr>
        <w:shd w:val="clear" w:color="auto" w:fill="E9E0EA" w:themeFill="accent2" w:themeFillTint="33"/>
      </w:tcPr>
    </w:tblStylePr>
  </w:style>
  <w:style w:type="table" w:styleId="ColorfulList-Accent3">
    <w:name w:val="Colorful List Accent 3"/>
    <w:basedOn w:val="TableNormal"/>
    <w:uiPriority w:val="72"/>
    <w:semiHidden/>
    <w:rsid w:val="00B91810"/>
    <w:pPr>
      <w:spacing w:after="0" w:line="240" w:lineRule="auto"/>
    </w:pPr>
    <w:tblPr>
      <w:tblStyleRowBandSize w:val="1"/>
      <w:tblStyleColBandSize w:val="1"/>
    </w:tblPr>
    <w:tcPr>
      <w:shd w:val="clear" w:color="auto" w:fill="F2F9F1" w:themeFill="accent3" w:themeFillTint="19"/>
    </w:tcPr>
    <w:tblStylePr w:type="firstRow">
      <w:rPr>
        <w:b/>
        <w:bCs/>
        <w:color w:val="FFFFFF" w:themeColor="background1"/>
      </w:rPr>
      <w:tblPr/>
      <w:tcPr>
        <w:tcBorders>
          <w:bottom w:val="single" w:sz="12" w:space="0" w:color="FFFFFF" w:themeColor="background1"/>
        </w:tcBorders>
        <w:shd w:val="clear" w:color="auto" w:fill="E27A07" w:themeFill="accent4" w:themeFillShade="CC"/>
      </w:tcPr>
    </w:tblStylePr>
    <w:tblStylePr w:type="lastRow">
      <w:rPr>
        <w:b/>
        <w:bCs/>
        <w:color w:val="E27A0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0DC" w:themeFill="accent3" w:themeFillTint="3F"/>
      </w:tcPr>
    </w:tblStylePr>
    <w:tblStylePr w:type="band1Horz">
      <w:tblPr/>
      <w:tcPr>
        <w:shd w:val="clear" w:color="auto" w:fill="E4F3E3" w:themeFill="accent3" w:themeFillTint="33"/>
      </w:tcPr>
    </w:tblStylePr>
  </w:style>
  <w:style w:type="table" w:styleId="ColorfulList-Accent4">
    <w:name w:val="Colorful List Accent 4"/>
    <w:basedOn w:val="TableNormal"/>
    <w:uiPriority w:val="72"/>
    <w:semiHidden/>
    <w:rsid w:val="00B91810"/>
    <w:pPr>
      <w:spacing w:after="0" w:line="240" w:lineRule="auto"/>
    </w:pPr>
    <w:tblPr>
      <w:tblStyleRowBandSize w:val="1"/>
      <w:tblStyleColBandSize w:val="1"/>
    </w:tblPr>
    <w:tcPr>
      <w:shd w:val="clear" w:color="auto" w:fill="FEF4EA" w:themeFill="accent4" w:themeFillTint="19"/>
    </w:tcPr>
    <w:tblStylePr w:type="firstRow">
      <w:rPr>
        <w:b/>
        <w:bCs/>
        <w:color w:val="FFFFFF" w:themeColor="background1"/>
      </w:rPr>
      <w:tblPr/>
      <w:tcPr>
        <w:tcBorders>
          <w:bottom w:val="single" w:sz="12" w:space="0" w:color="FFFFFF" w:themeColor="background1"/>
        </w:tcBorders>
        <w:shd w:val="clear" w:color="auto" w:fill="55B049" w:themeFill="accent3" w:themeFillShade="CC"/>
      </w:tcPr>
    </w:tblStylePr>
    <w:tblStylePr w:type="lastRow">
      <w:rPr>
        <w:b/>
        <w:bCs/>
        <w:color w:val="55B04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B" w:themeFill="accent4" w:themeFillTint="3F"/>
      </w:tcPr>
    </w:tblStylePr>
    <w:tblStylePr w:type="band1Horz">
      <w:tblPr/>
      <w:tcPr>
        <w:shd w:val="clear" w:color="auto" w:fill="FDEAD4" w:themeFill="accent4" w:themeFillTint="33"/>
      </w:tcPr>
    </w:tblStylePr>
  </w:style>
  <w:style w:type="table" w:styleId="ColorfulList-Accent5">
    <w:name w:val="Colorful List Accent 5"/>
    <w:basedOn w:val="TableNormal"/>
    <w:uiPriority w:val="72"/>
    <w:semiHidden/>
    <w:rsid w:val="00B91810"/>
    <w:pPr>
      <w:spacing w:after="0" w:line="240" w:lineRule="auto"/>
    </w:pPr>
    <w:tblPr>
      <w:tblStyleRowBandSize w:val="1"/>
      <w:tblStyleColBandSize w:val="1"/>
    </w:tblPr>
    <w:tcPr>
      <w:shd w:val="clear" w:color="auto" w:fill="E9F7F6" w:themeFill="accent5" w:themeFillTint="19"/>
    </w:tcPr>
    <w:tblStylePr w:type="firstRow">
      <w:rPr>
        <w:b/>
        <w:bCs/>
        <w:color w:val="FFFFFF" w:themeColor="background1"/>
      </w:rPr>
      <w:tblPr/>
      <w:tcPr>
        <w:tcBorders>
          <w:bottom w:val="single" w:sz="12" w:space="0" w:color="FFFFFF" w:themeColor="background1"/>
        </w:tcBorders>
        <w:shd w:val="clear" w:color="auto" w:fill="A4CBE2" w:themeFill="accent6" w:themeFillShade="CC"/>
      </w:tcPr>
    </w:tblStylePr>
    <w:tblStylePr w:type="lastRow">
      <w:rPr>
        <w:b/>
        <w:bCs/>
        <w:color w:val="A4CBE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EBEA" w:themeFill="accent5" w:themeFillTint="3F"/>
      </w:tcPr>
    </w:tblStylePr>
    <w:tblStylePr w:type="band1Horz">
      <w:tblPr/>
      <w:tcPr>
        <w:shd w:val="clear" w:color="auto" w:fill="D2EFEE" w:themeFill="accent5" w:themeFillTint="33"/>
      </w:tcPr>
    </w:tblStylePr>
  </w:style>
  <w:style w:type="table" w:styleId="ColorfulList-Accent6">
    <w:name w:val="Colorful List Accent 6"/>
    <w:basedOn w:val="TableNormal"/>
    <w:uiPriority w:val="72"/>
    <w:semiHidden/>
    <w:rsid w:val="00B91810"/>
    <w:pPr>
      <w:spacing w:after="0" w:line="240" w:lineRule="auto"/>
    </w:pPr>
    <w:tblPr>
      <w:tblStyleRowBandSize w:val="1"/>
      <w:tblStyleColBandSize w:val="1"/>
    </w:tblPr>
    <w:tcPr>
      <w:shd w:val="clear" w:color="auto" w:fill="FDFEFE" w:themeFill="accent6" w:themeFillTint="19"/>
    </w:tcPr>
    <w:tblStylePr w:type="firstRow">
      <w:rPr>
        <w:b/>
        <w:bCs/>
        <w:color w:val="FFFFFF" w:themeColor="background1"/>
      </w:rPr>
      <w:tblPr/>
      <w:tcPr>
        <w:tcBorders>
          <w:bottom w:val="single" w:sz="12" w:space="0" w:color="FFFFFF" w:themeColor="background1"/>
        </w:tcBorders>
        <w:shd w:val="clear" w:color="auto" w:fill="2B7B79" w:themeFill="accent5" w:themeFillShade="CC"/>
      </w:tcPr>
    </w:tblStylePr>
    <w:tblStylePr w:type="lastRow">
      <w:rPr>
        <w:b/>
        <w:bCs/>
        <w:color w:val="2B7B7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D" w:themeFill="accent6" w:themeFillTint="3F"/>
      </w:tcPr>
    </w:tblStylePr>
    <w:tblStylePr w:type="band1Horz">
      <w:tblPr/>
      <w:tcPr>
        <w:shd w:val="clear" w:color="auto" w:fill="FBFDFE" w:themeFill="accent6" w:themeFillTint="33"/>
      </w:tcPr>
    </w:tblStylePr>
  </w:style>
  <w:style w:type="table" w:styleId="ColorfulShading">
    <w:name w:val="Colorful Shading"/>
    <w:basedOn w:val="TableNormal"/>
    <w:uiPriority w:val="71"/>
    <w:semiHidden/>
    <w:rsid w:val="00B91810"/>
    <w:pPr>
      <w:spacing w:after="0" w:line="240" w:lineRule="auto"/>
    </w:pPr>
    <w:tblPr>
      <w:tblStyleRowBandSize w:val="1"/>
      <w:tblStyleColBandSize w:val="1"/>
      <w:tblBorders>
        <w:top w:val="single" w:sz="24" w:space="0" w:color="92689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2689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B91810"/>
    <w:pPr>
      <w:spacing w:after="0" w:line="240" w:lineRule="auto"/>
    </w:pPr>
    <w:tblPr>
      <w:tblStyleRowBandSize w:val="1"/>
      <w:tblStyleColBandSize w:val="1"/>
      <w:tblBorders>
        <w:top w:val="single" w:sz="24" w:space="0" w:color="926899" w:themeColor="accent2"/>
        <w:left w:val="single" w:sz="4" w:space="0" w:color="86B3CB" w:themeColor="accent1"/>
        <w:bottom w:val="single" w:sz="4" w:space="0" w:color="86B3CB" w:themeColor="accent1"/>
        <w:right w:val="single" w:sz="4" w:space="0" w:color="86B3CB" w:themeColor="accent1"/>
        <w:insideH w:val="single" w:sz="4" w:space="0" w:color="FFFFFF" w:themeColor="background1"/>
        <w:insideV w:val="single" w:sz="4" w:space="0" w:color="FFFFFF" w:themeColor="background1"/>
      </w:tblBorders>
    </w:tblPr>
    <w:tcPr>
      <w:shd w:val="clear" w:color="auto" w:fill="F3F7FA" w:themeFill="accent1" w:themeFillTint="19"/>
    </w:tcPr>
    <w:tblStylePr w:type="firstRow">
      <w:rPr>
        <w:b/>
        <w:bCs/>
      </w:rPr>
      <w:tblPr/>
      <w:tcPr>
        <w:tcBorders>
          <w:top w:val="nil"/>
          <w:left w:val="nil"/>
          <w:bottom w:val="single" w:sz="24" w:space="0" w:color="92689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718D" w:themeFill="accent1" w:themeFillShade="99"/>
      </w:tcPr>
    </w:tblStylePr>
    <w:tblStylePr w:type="firstCol">
      <w:rPr>
        <w:color w:val="FFFFFF" w:themeColor="background1"/>
      </w:rPr>
      <w:tblPr/>
      <w:tcPr>
        <w:tcBorders>
          <w:top w:val="nil"/>
          <w:left w:val="nil"/>
          <w:bottom w:val="nil"/>
          <w:right w:val="nil"/>
          <w:insideH w:val="single" w:sz="4" w:space="0" w:color="3C718D" w:themeColor="accent1" w:themeShade="99"/>
          <w:insideV w:val="nil"/>
        </w:tcBorders>
        <w:shd w:val="clear" w:color="auto" w:fill="3C718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718D" w:themeFill="accent1" w:themeFillShade="99"/>
      </w:tcPr>
    </w:tblStylePr>
    <w:tblStylePr w:type="band1Vert">
      <w:tblPr/>
      <w:tcPr>
        <w:shd w:val="clear" w:color="auto" w:fill="CEE0EA" w:themeFill="accent1" w:themeFillTint="66"/>
      </w:tcPr>
    </w:tblStylePr>
    <w:tblStylePr w:type="band1Horz">
      <w:tblPr/>
      <w:tcPr>
        <w:shd w:val="clear" w:color="auto" w:fill="C2D9E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B91810"/>
    <w:pPr>
      <w:spacing w:after="0" w:line="240" w:lineRule="auto"/>
    </w:pPr>
    <w:tblPr>
      <w:tblStyleRowBandSize w:val="1"/>
      <w:tblStyleColBandSize w:val="1"/>
      <w:tblBorders>
        <w:top w:val="single" w:sz="24" w:space="0" w:color="926899" w:themeColor="accent2"/>
        <w:left w:val="single" w:sz="4" w:space="0" w:color="926899" w:themeColor="accent2"/>
        <w:bottom w:val="single" w:sz="4" w:space="0" w:color="926899" w:themeColor="accent2"/>
        <w:right w:val="single" w:sz="4" w:space="0" w:color="926899" w:themeColor="accent2"/>
        <w:insideH w:val="single" w:sz="4" w:space="0" w:color="FFFFFF" w:themeColor="background1"/>
        <w:insideV w:val="single" w:sz="4" w:space="0" w:color="FFFFFF" w:themeColor="background1"/>
      </w:tblBorders>
    </w:tblPr>
    <w:tcPr>
      <w:shd w:val="clear" w:color="auto" w:fill="F4F0F5" w:themeFill="accent2" w:themeFillTint="19"/>
    </w:tcPr>
    <w:tblStylePr w:type="firstRow">
      <w:rPr>
        <w:b/>
        <w:bCs/>
      </w:rPr>
      <w:tblPr/>
      <w:tcPr>
        <w:tcBorders>
          <w:top w:val="nil"/>
          <w:left w:val="nil"/>
          <w:bottom w:val="single" w:sz="24" w:space="0" w:color="92689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3E5B" w:themeFill="accent2" w:themeFillShade="99"/>
      </w:tcPr>
    </w:tblStylePr>
    <w:tblStylePr w:type="firstCol">
      <w:rPr>
        <w:color w:val="FFFFFF" w:themeColor="background1"/>
      </w:rPr>
      <w:tblPr/>
      <w:tcPr>
        <w:tcBorders>
          <w:top w:val="nil"/>
          <w:left w:val="nil"/>
          <w:bottom w:val="nil"/>
          <w:right w:val="nil"/>
          <w:insideH w:val="single" w:sz="4" w:space="0" w:color="573E5B" w:themeColor="accent2" w:themeShade="99"/>
          <w:insideV w:val="nil"/>
        </w:tcBorders>
        <w:shd w:val="clear" w:color="auto" w:fill="573E5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3E5B" w:themeFill="accent2" w:themeFillShade="99"/>
      </w:tcPr>
    </w:tblStylePr>
    <w:tblStylePr w:type="band1Vert">
      <w:tblPr/>
      <w:tcPr>
        <w:shd w:val="clear" w:color="auto" w:fill="D3C2D6" w:themeFill="accent2" w:themeFillTint="66"/>
      </w:tcPr>
    </w:tblStylePr>
    <w:tblStylePr w:type="band1Horz">
      <w:tblPr/>
      <w:tcPr>
        <w:shd w:val="clear" w:color="auto" w:fill="C8B3C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B91810"/>
    <w:pPr>
      <w:spacing w:after="0" w:line="240" w:lineRule="auto"/>
    </w:pPr>
    <w:tblPr>
      <w:tblStyleRowBandSize w:val="1"/>
      <w:tblStyleColBandSize w:val="1"/>
      <w:tblBorders>
        <w:top w:val="single" w:sz="24" w:space="0" w:color="F8982D" w:themeColor="accent4"/>
        <w:left w:val="single" w:sz="4" w:space="0" w:color="7DC574" w:themeColor="accent3"/>
        <w:bottom w:val="single" w:sz="4" w:space="0" w:color="7DC574" w:themeColor="accent3"/>
        <w:right w:val="single" w:sz="4" w:space="0" w:color="7DC574" w:themeColor="accent3"/>
        <w:insideH w:val="single" w:sz="4" w:space="0" w:color="FFFFFF" w:themeColor="background1"/>
        <w:insideV w:val="single" w:sz="4" w:space="0" w:color="FFFFFF" w:themeColor="background1"/>
      </w:tblBorders>
    </w:tblPr>
    <w:tcPr>
      <w:shd w:val="clear" w:color="auto" w:fill="F2F9F1" w:themeFill="accent3" w:themeFillTint="19"/>
    </w:tcPr>
    <w:tblStylePr w:type="firstRow">
      <w:rPr>
        <w:b/>
        <w:bCs/>
      </w:rPr>
      <w:tblPr/>
      <w:tcPr>
        <w:tcBorders>
          <w:top w:val="nil"/>
          <w:left w:val="nil"/>
          <w:bottom w:val="single" w:sz="24" w:space="0" w:color="F8982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8437" w:themeFill="accent3" w:themeFillShade="99"/>
      </w:tcPr>
    </w:tblStylePr>
    <w:tblStylePr w:type="firstCol">
      <w:rPr>
        <w:color w:val="FFFFFF" w:themeColor="background1"/>
      </w:rPr>
      <w:tblPr/>
      <w:tcPr>
        <w:tcBorders>
          <w:top w:val="nil"/>
          <w:left w:val="nil"/>
          <w:bottom w:val="nil"/>
          <w:right w:val="nil"/>
          <w:insideH w:val="single" w:sz="4" w:space="0" w:color="3F8437" w:themeColor="accent3" w:themeShade="99"/>
          <w:insideV w:val="nil"/>
        </w:tcBorders>
        <w:shd w:val="clear" w:color="auto" w:fill="3F843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F8437" w:themeFill="accent3" w:themeFillShade="99"/>
      </w:tcPr>
    </w:tblStylePr>
    <w:tblStylePr w:type="band1Vert">
      <w:tblPr/>
      <w:tcPr>
        <w:shd w:val="clear" w:color="auto" w:fill="CAE7C7" w:themeFill="accent3" w:themeFillTint="66"/>
      </w:tcPr>
    </w:tblStylePr>
    <w:tblStylePr w:type="band1Horz">
      <w:tblPr/>
      <w:tcPr>
        <w:shd w:val="clear" w:color="auto" w:fill="BDE2B9" w:themeFill="accent3" w:themeFillTint="7F"/>
      </w:tcPr>
    </w:tblStylePr>
  </w:style>
  <w:style w:type="table" w:styleId="ColorfulShading-Accent4">
    <w:name w:val="Colorful Shading Accent 4"/>
    <w:basedOn w:val="TableNormal"/>
    <w:uiPriority w:val="71"/>
    <w:semiHidden/>
    <w:rsid w:val="00B91810"/>
    <w:pPr>
      <w:spacing w:after="0" w:line="240" w:lineRule="auto"/>
    </w:pPr>
    <w:tblPr>
      <w:tblStyleRowBandSize w:val="1"/>
      <w:tblStyleColBandSize w:val="1"/>
      <w:tblBorders>
        <w:top w:val="single" w:sz="24" w:space="0" w:color="7DC574" w:themeColor="accent3"/>
        <w:left w:val="single" w:sz="4" w:space="0" w:color="F8982D" w:themeColor="accent4"/>
        <w:bottom w:val="single" w:sz="4" w:space="0" w:color="F8982D" w:themeColor="accent4"/>
        <w:right w:val="single" w:sz="4" w:space="0" w:color="F8982D" w:themeColor="accent4"/>
        <w:insideH w:val="single" w:sz="4" w:space="0" w:color="FFFFFF" w:themeColor="background1"/>
        <w:insideV w:val="single" w:sz="4" w:space="0" w:color="FFFFFF" w:themeColor="background1"/>
      </w:tblBorders>
    </w:tblPr>
    <w:tcPr>
      <w:shd w:val="clear" w:color="auto" w:fill="FEF4EA" w:themeFill="accent4" w:themeFillTint="19"/>
    </w:tcPr>
    <w:tblStylePr w:type="firstRow">
      <w:rPr>
        <w:b/>
        <w:bCs/>
      </w:rPr>
      <w:tblPr/>
      <w:tcPr>
        <w:tcBorders>
          <w:top w:val="nil"/>
          <w:left w:val="nil"/>
          <w:bottom w:val="single" w:sz="24" w:space="0" w:color="7DC57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C05" w:themeFill="accent4" w:themeFillShade="99"/>
      </w:tcPr>
    </w:tblStylePr>
    <w:tblStylePr w:type="firstCol">
      <w:rPr>
        <w:color w:val="FFFFFF" w:themeColor="background1"/>
      </w:rPr>
      <w:tblPr/>
      <w:tcPr>
        <w:tcBorders>
          <w:top w:val="nil"/>
          <w:left w:val="nil"/>
          <w:bottom w:val="nil"/>
          <w:right w:val="nil"/>
          <w:insideH w:val="single" w:sz="4" w:space="0" w:color="A95C05" w:themeColor="accent4" w:themeShade="99"/>
          <w:insideV w:val="nil"/>
        </w:tcBorders>
        <w:shd w:val="clear" w:color="auto" w:fill="A95C0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95C05" w:themeFill="accent4" w:themeFillShade="99"/>
      </w:tcPr>
    </w:tblStylePr>
    <w:tblStylePr w:type="band1Vert">
      <w:tblPr/>
      <w:tcPr>
        <w:shd w:val="clear" w:color="auto" w:fill="FCD5AA" w:themeFill="accent4" w:themeFillTint="66"/>
      </w:tcPr>
    </w:tblStylePr>
    <w:tblStylePr w:type="band1Horz">
      <w:tblPr/>
      <w:tcPr>
        <w:shd w:val="clear" w:color="auto" w:fill="FBCB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B91810"/>
    <w:pPr>
      <w:spacing w:after="0" w:line="240" w:lineRule="auto"/>
    </w:pPr>
    <w:tblPr>
      <w:tblStyleRowBandSize w:val="1"/>
      <w:tblStyleColBandSize w:val="1"/>
      <w:tblBorders>
        <w:top w:val="single" w:sz="24" w:space="0" w:color="EFF6FA" w:themeColor="accent6"/>
        <w:left w:val="single" w:sz="4" w:space="0" w:color="369A98" w:themeColor="accent5"/>
        <w:bottom w:val="single" w:sz="4" w:space="0" w:color="369A98" w:themeColor="accent5"/>
        <w:right w:val="single" w:sz="4" w:space="0" w:color="369A98" w:themeColor="accent5"/>
        <w:insideH w:val="single" w:sz="4" w:space="0" w:color="FFFFFF" w:themeColor="background1"/>
        <w:insideV w:val="single" w:sz="4" w:space="0" w:color="FFFFFF" w:themeColor="background1"/>
      </w:tblBorders>
    </w:tblPr>
    <w:tcPr>
      <w:shd w:val="clear" w:color="auto" w:fill="E9F7F6" w:themeFill="accent5" w:themeFillTint="19"/>
    </w:tcPr>
    <w:tblStylePr w:type="firstRow">
      <w:rPr>
        <w:b/>
        <w:bCs/>
      </w:rPr>
      <w:tblPr/>
      <w:tcPr>
        <w:tcBorders>
          <w:top w:val="nil"/>
          <w:left w:val="nil"/>
          <w:bottom w:val="single" w:sz="24" w:space="0" w:color="EFF6F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5C5A" w:themeFill="accent5" w:themeFillShade="99"/>
      </w:tcPr>
    </w:tblStylePr>
    <w:tblStylePr w:type="firstCol">
      <w:rPr>
        <w:color w:val="FFFFFF" w:themeColor="background1"/>
      </w:rPr>
      <w:tblPr/>
      <w:tcPr>
        <w:tcBorders>
          <w:top w:val="nil"/>
          <w:left w:val="nil"/>
          <w:bottom w:val="nil"/>
          <w:right w:val="nil"/>
          <w:insideH w:val="single" w:sz="4" w:space="0" w:color="205C5A" w:themeColor="accent5" w:themeShade="99"/>
          <w:insideV w:val="nil"/>
        </w:tcBorders>
        <w:shd w:val="clear" w:color="auto" w:fill="205C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05C5A" w:themeFill="accent5" w:themeFillShade="99"/>
      </w:tcPr>
    </w:tblStylePr>
    <w:tblStylePr w:type="band1Vert">
      <w:tblPr/>
      <w:tcPr>
        <w:shd w:val="clear" w:color="auto" w:fill="A5DFDE" w:themeFill="accent5" w:themeFillTint="66"/>
      </w:tcPr>
    </w:tblStylePr>
    <w:tblStylePr w:type="band1Horz">
      <w:tblPr/>
      <w:tcPr>
        <w:shd w:val="clear" w:color="auto" w:fill="8FD8D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B91810"/>
    <w:pPr>
      <w:spacing w:after="0" w:line="240" w:lineRule="auto"/>
    </w:pPr>
    <w:tblPr>
      <w:tblStyleRowBandSize w:val="1"/>
      <w:tblStyleColBandSize w:val="1"/>
      <w:tblBorders>
        <w:top w:val="single" w:sz="24" w:space="0" w:color="369A98" w:themeColor="accent5"/>
        <w:left w:val="single" w:sz="4" w:space="0" w:color="EFF6FA" w:themeColor="accent6"/>
        <w:bottom w:val="single" w:sz="4" w:space="0" w:color="EFF6FA" w:themeColor="accent6"/>
        <w:right w:val="single" w:sz="4" w:space="0" w:color="EFF6FA" w:themeColor="accent6"/>
        <w:insideH w:val="single" w:sz="4" w:space="0" w:color="FFFFFF" w:themeColor="background1"/>
        <w:insideV w:val="single" w:sz="4" w:space="0" w:color="FFFFFF" w:themeColor="background1"/>
      </w:tblBorders>
    </w:tblPr>
    <w:tcPr>
      <w:shd w:val="clear" w:color="auto" w:fill="FDFEFE" w:themeFill="accent6" w:themeFillTint="19"/>
    </w:tcPr>
    <w:tblStylePr w:type="firstRow">
      <w:rPr>
        <w:b/>
        <w:bCs/>
      </w:rPr>
      <w:tblPr/>
      <w:tcPr>
        <w:tcBorders>
          <w:top w:val="nil"/>
          <w:left w:val="nil"/>
          <w:bottom w:val="single" w:sz="24" w:space="0" w:color="369A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A2CB" w:themeFill="accent6" w:themeFillShade="99"/>
      </w:tcPr>
    </w:tblStylePr>
    <w:tblStylePr w:type="firstCol">
      <w:rPr>
        <w:color w:val="FFFFFF" w:themeColor="background1"/>
      </w:rPr>
      <w:tblPr/>
      <w:tcPr>
        <w:tcBorders>
          <w:top w:val="nil"/>
          <w:left w:val="nil"/>
          <w:bottom w:val="nil"/>
          <w:right w:val="nil"/>
          <w:insideH w:val="single" w:sz="4" w:space="0" w:color="59A2CB" w:themeColor="accent6" w:themeShade="99"/>
          <w:insideV w:val="nil"/>
        </w:tcBorders>
        <w:shd w:val="clear" w:color="auto" w:fill="59A2C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9A2CB" w:themeFill="accent6" w:themeFillShade="99"/>
      </w:tcPr>
    </w:tblStylePr>
    <w:tblStylePr w:type="band1Vert">
      <w:tblPr/>
      <w:tcPr>
        <w:shd w:val="clear" w:color="auto" w:fill="F8FBFD" w:themeFill="accent6" w:themeFillTint="66"/>
      </w:tcPr>
    </w:tblStylePr>
    <w:tblStylePr w:type="band1Horz">
      <w:tblPr/>
      <w:tcPr>
        <w:shd w:val="clear" w:color="auto" w:fill="F6FA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91810"/>
    <w:rPr>
      <w:sz w:val="16"/>
      <w:szCs w:val="16"/>
      <w:lang w:val="en-GB"/>
    </w:rPr>
  </w:style>
  <w:style w:type="paragraph" w:styleId="CommentText">
    <w:name w:val="annotation text"/>
    <w:basedOn w:val="Normal"/>
    <w:link w:val="CommentTextChar"/>
    <w:uiPriority w:val="99"/>
    <w:semiHidden/>
    <w:unhideWhenUsed/>
    <w:rsid w:val="00B91810"/>
    <w:pPr>
      <w:spacing w:line="240" w:lineRule="auto"/>
    </w:pPr>
    <w:rPr>
      <w:sz w:val="20"/>
      <w:szCs w:val="20"/>
    </w:rPr>
  </w:style>
  <w:style w:type="character" w:customStyle="1" w:styleId="CommentTextChar">
    <w:name w:val="Comment Text Char"/>
    <w:basedOn w:val="DefaultParagraphFont"/>
    <w:link w:val="CommentText"/>
    <w:uiPriority w:val="99"/>
    <w:semiHidden/>
    <w:rsid w:val="00B91810"/>
    <w:rPr>
      <w:sz w:val="20"/>
      <w:szCs w:val="20"/>
      <w:lang w:val="en-GB"/>
    </w:rPr>
  </w:style>
  <w:style w:type="paragraph" w:styleId="CommentSubject">
    <w:name w:val="annotation subject"/>
    <w:basedOn w:val="CommentText"/>
    <w:next w:val="CommentText"/>
    <w:link w:val="CommentSubjectChar"/>
    <w:uiPriority w:val="99"/>
    <w:semiHidden/>
    <w:unhideWhenUsed/>
    <w:rsid w:val="00B91810"/>
    <w:rPr>
      <w:b/>
      <w:bCs/>
    </w:rPr>
  </w:style>
  <w:style w:type="character" w:customStyle="1" w:styleId="CommentSubjectChar">
    <w:name w:val="Comment Subject Char"/>
    <w:basedOn w:val="CommentTextChar"/>
    <w:link w:val="CommentSubject"/>
    <w:uiPriority w:val="99"/>
    <w:semiHidden/>
    <w:rsid w:val="00B91810"/>
    <w:rPr>
      <w:b/>
      <w:bCs/>
      <w:sz w:val="20"/>
      <w:szCs w:val="20"/>
      <w:lang w:val="en-GB"/>
    </w:rPr>
  </w:style>
  <w:style w:type="table" w:styleId="DarkList">
    <w:name w:val="Dark List"/>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86B3C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5D7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C8DB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C8DB0" w:themeFill="accent1" w:themeFillShade="BF"/>
      </w:tcPr>
    </w:tblStylePr>
    <w:tblStylePr w:type="band1Vert">
      <w:tblPr/>
      <w:tcPr>
        <w:tcBorders>
          <w:top w:val="nil"/>
          <w:left w:val="nil"/>
          <w:bottom w:val="nil"/>
          <w:right w:val="nil"/>
          <w:insideH w:val="nil"/>
          <w:insideV w:val="nil"/>
        </w:tcBorders>
        <w:shd w:val="clear" w:color="auto" w:fill="4C8DB0" w:themeFill="accent1" w:themeFillShade="BF"/>
      </w:tcPr>
    </w:tblStylePr>
    <w:tblStylePr w:type="band1Horz">
      <w:tblPr/>
      <w:tcPr>
        <w:tcBorders>
          <w:top w:val="nil"/>
          <w:left w:val="nil"/>
          <w:bottom w:val="nil"/>
          <w:right w:val="nil"/>
          <w:insideH w:val="nil"/>
          <w:insideV w:val="nil"/>
        </w:tcBorders>
        <w:shd w:val="clear" w:color="auto" w:fill="4C8DB0" w:themeFill="accent1" w:themeFillShade="BF"/>
      </w:tcPr>
    </w:tblStylePr>
  </w:style>
  <w:style w:type="table" w:styleId="DarkList-Accent2">
    <w:name w:val="Dark List Accent 2"/>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92689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334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4D7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4D72" w:themeFill="accent2" w:themeFillShade="BF"/>
      </w:tcPr>
    </w:tblStylePr>
    <w:tblStylePr w:type="band1Vert">
      <w:tblPr/>
      <w:tcPr>
        <w:tcBorders>
          <w:top w:val="nil"/>
          <w:left w:val="nil"/>
          <w:bottom w:val="nil"/>
          <w:right w:val="nil"/>
          <w:insideH w:val="nil"/>
          <w:insideV w:val="nil"/>
        </w:tcBorders>
        <w:shd w:val="clear" w:color="auto" w:fill="6D4D72" w:themeFill="accent2" w:themeFillShade="BF"/>
      </w:tcPr>
    </w:tblStylePr>
    <w:tblStylePr w:type="band1Horz">
      <w:tblPr/>
      <w:tcPr>
        <w:tcBorders>
          <w:top w:val="nil"/>
          <w:left w:val="nil"/>
          <w:bottom w:val="nil"/>
          <w:right w:val="nil"/>
          <w:insideH w:val="nil"/>
          <w:insideV w:val="nil"/>
        </w:tcBorders>
        <w:shd w:val="clear" w:color="auto" w:fill="6D4D72" w:themeFill="accent2" w:themeFillShade="BF"/>
      </w:tcPr>
    </w:tblStylePr>
  </w:style>
  <w:style w:type="table" w:styleId="DarkList-Accent3">
    <w:name w:val="Dark List Accent 3"/>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7DC57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6D2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FA54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FA545" w:themeFill="accent3" w:themeFillShade="BF"/>
      </w:tcPr>
    </w:tblStylePr>
    <w:tblStylePr w:type="band1Vert">
      <w:tblPr/>
      <w:tcPr>
        <w:tcBorders>
          <w:top w:val="nil"/>
          <w:left w:val="nil"/>
          <w:bottom w:val="nil"/>
          <w:right w:val="nil"/>
          <w:insideH w:val="nil"/>
          <w:insideV w:val="nil"/>
        </w:tcBorders>
        <w:shd w:val="clear" w:color="auto" w:fill="4FA545" w:themeFill="accent3" w:themeFillShade="BF"/>
      </w:tcPr>
    </w:tblStylePr>
    <w:tblStylePr w:type="band1Horz">
      <w:tblPr/>
      <w:tcPr>
        <w:tcBorders>
          <w:top w:val="nil"/>
          <w:left w:val="nil"/>
          <w:bottom w:val="nil"/>
          <w:right w:val="nil"/>
          <w:insideH w:val="nil"/>
          <w:insideV w:val="nil"/>
        </w:tcBorders>
        <w:shd w:val="clear" w:color="auto" w:fill="4FA545" w:themeFill="accent3" w:themeFillShade="BF"/>
      </w:tcPr>
    </w:tblStylePr>
  </w:style>
  <w:style w:type="table" w:styleId="DarkList-Accent4">
    <w:name w:val="Dark List Accent 4"/>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F8982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4C0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4720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47207" w:themeFill="accent4" w:themeFillShade="BF"/>
      </w:tcPr>
    </w:tblStylePr>
    <w:tblStylePr w:type="band1Vert">
      <w:tblPr/>
      <w:tcPr>
        <w:tcBorders>
          <w:top w:val="nil"/>
          <w:left w:val="nil"/>
          <w:bottom w:val="nil"/>
          <w:right w:val="nil"/>
          <w:insideH w:val="nil"/>
          <w:insideV w:val="nil"/>
        </w:tcBorders>
        <w:shd w:val="clear" w:color="auto" w:fill="D47207" w:themeFill="accent4" w:themeFillShade="BF"/>
      </w:tcPr>
    </w:tblStylePr>
    <w:tblStylePr w:type="band1Horz">
      <w:tblPr/>
      <w:tcPr>
        <w:tcBorders>
          <w:top w:val="nil"/>
          <w:left w:val="nil"/>
          <w:bottom w:val="nil"/>
          <w:right w:val="nil"/>
          <w:insideH w:val="nil"/>
          <w:insideV w:val="nil"/>
        </w:tcBorders>
        <w:shd w:val="clear" w:color="auto" w:fill="D47207" w:themeFill="accent4" w:themeFillShade="BF"/>
      </w:tcPr>
    </w:tblStylePr>
  </w:style>
  <w:style w:type="table" w:styleId="DarkList-Accent5">
    <w:name w:val="Dark List Accent 5"/>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369A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4C4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8737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87371" w:themeFill="accent5" w:themeFillShade="BF"/>
      </w:tcPr>
    </w:tblStylePr>
    <w:tblStylePr w:type="band1Vert">
      <w:tblPr/>
      <w:tcPr>
        <w:tcBorders>
          <w:top w:val="nil"/>
          <w:left w:val="nil"/>
          <w:bottom w:val="nil"/>
          <w:right w:val="nil"/>
          <w:insideH w:val="nil"/>
          <w:insideV w:val="nil"/>
        </w:tcBorders>
        <w:shd w:val="clear" w:color="auto" w:fill="287371" w:themeFill="accent5" w:themeFillShade="BF"/>
      </w:tcPr>
    </w:tblStylePr>
    <w:tblStylePr w:type="band1Horz">
      <w:tblPr/>
      <w:tcPr>
        <w:tcBorders>
          <w:top w:val="nil"/>
          <w:left w:val="nil"/>
          <w:bottom w:val="nil"/>
          <w:right w:val="nil"/>
          <w:insideH w:val="nil"/>
          <w:insideV w:val="nil"/>
        </w:tcBorders>
        <w:shd w:val="clear" w:color="auto" w:fill="287371" w:themeFill="accent5" w:themeFillShade="BF"/>
      </w:tcPr>
    </w:tblStylePr>
  </w:style>
  <w:style w:type="table" w:styleId="DarkList-Accent6">
    <w:name w:val="Dark List Accent 6"/>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EFF6F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8AB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1C1D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1C1DC" w:themeFill="accent6" w:themeFillShade="BF"/>
      </w:tcPr>
    </w:tblStylePr>
    <w:tblStylePr w:type="band1Vert">
      <w:tblPr/>
      <w:tcPr>
        <w:tcBorders>
          <w:top w:val="nil"/>
          <w:left w:val="nil"/>
          <w:bottom w:val="nil"/>
          <w:right w:val="nil"/>
          <w:insideH w:val="nil"/>
          <w:insideV w:val="nil"/>
        </w:tcBorders>
        <w:shd w:val="clear" w:color="auto" w:fill="91C1DC" w:themeFill="accent6" w:themeFillShade="BF"/>
      </w:tcPr>
    </w:tblStylePr>
    <w:tblStylePr w:type="band1Horz">
      <w:tblPr/>
      <w:tcPr>
        <w:tcBorders>
          <w:top w:val="nil"/>
          <w:left w:val="nil"/>
          <w:bottom w:val="nil"/>
          <w:right w:val="nil"/>
          <w:insideH w:val="nil"/>
          <w:insideV w:val="nil"/>
        </w:tcBorders>
        <w:shd w:val="clear" w:color="auto" w:fill="91C1DC" w:themeFill="accent6" w:themeFillShade="BF"/>
      </w:tcPr>
    </w:tblStylePr>
  </w:style>
  <w:style w:type="paragraph" w:styleId="Date">
    <w:name w:val="Date"/>
    <w:basedOn w:val="Normal"/>
    <w:next w:val="Normal"/>
    <w:link w:val="DateChar"/>
    <w:uiPriority w:val="99"/>
    <w:semiHidden/>
    <w:unhideWhenUsed/>
    <w:rsid w:val="00B91810"/>
  </w:style>
  <w:style w:type="character" w:customStyle="1" w:styleId="DateChar">
    <w:name w:val="Date Char"/>
    <w:basedOn w:val="DefaultParagraphFont"/>
    <w:link w:val="Date"/>
    <w:uiPriority w:val="99"/>
    <w:semiHidden/>
    <w:rsid w:val="00B91810"/>
    <w:rPr>
      <w:lang w:val="en-GB"/>
    </w:rPr>
  </w:style>
  <w:style w:type="paragraph" w:styleId="DocumentMap">
    <w:name w:val="Document Map"/>
    <w:basedOn w:val="Normal"/>
    <w:link w:val="DocumentMapChar"/>
    <w:uiPriority w:val="99"/>
    <w:semiHidden/>
    <w:unhideWhenUsed/>
    <w:rsid w:val="00B9181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1810"/>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B91810"/>
    <w:pPr>
      <w:spacing w:after="0" w:line="240" w:lineRule="auto"/>
    </w:pPr>
  </w:style>
  <w:style w:type="character" w:customStyle="1" w:styleId="E-mailSignatureChar">
    <w:name w:val="E-mail Signature Char"/>
    <w:basedOn w:val="DefaultParagraphFont"/>
    <w:link w:val="E-mailSignature"/>
    <w:uiPriority w:val="99"/>
    <w:semiHidden/>
    <w:rsid w:val="00B91810"/>
    <w:rPr>
      <w:lang w:val="en-GB"/>
    </w:rPr>
  </w:style>
  <w:style w:type="character" w:styleId="Emphasis">
    <w:name w:val="Emphasis"/>
    <w:basedOn w:val="DefaultParagraphFont"/>
    <w:uiPriority w:val="20"/>
    <w:semiHidden/>
    <w:rsid w:val="00B91810"/>
    <w:rPr>
      <w:i/>
      <w:iCs/>
      <w:lang w:val="en-GB"/>
    </w:rPr>
  </w:style>
  <w:style w:type="character" w:styleId="EndnoteReference">
    <w:name w:val="endnote reference"/>
    <w:basedOn w:val="DefaultParagraphFont"/>
    <w:uiPriority w:val="99"/>
    <w:semiHidden/>
    <w:unhideWhenUsed/>
    <w:rsid w:val="00B91810"/>
    <w:rPr>
      <w:vertAlign w:val="superscript"/>
      <w:lang w:val="en-GB"/>
    </w:rPr>
  </w:style>
  <w:style w:type="paragraph" w:styleId="EndnoteText">
    <w:name w:val="endnote text"/>
    <w:basedOn w:val="Normal"/>
    <w:link w:val="EndnoteTextChar"/>
    <w:uiPriority w:val="99"/>
    <w:unhideWhenUsed/>
    <w:rsid w:val="00B91810"/>
    <w:pPr>
      <w:spacing w:after="0" w:line="240" w:lineRule="auto"/>
    </w:pPr>
    <w:rPr>
      <w:sz w:val="20"/>
      <w:szCs w:val="20"/>
    </w:rPr>
  </w:style>
  <w:style w:type="character" w:customStyle="1" w:styleId="EndnoteTextChar">
    <w:name w:val="Endnote Text Char"/>
    <w:basedOn w:val="DefaultParagraphFont"/>
    <w:link w:val="EndnoteText"/>
    <w:uiPriority w:val="99"/>
    <w:rsid w:val="00B91810"/>
    <w:rPr>
      <w:sz w:val="20"/>
      <w:szCs w:val="20"/>
      <w:lang w:val="en-GB"/>
    </w:rPr>
  </w:style>
  <w:style w:type="paragraph" w:styleId="EnvelopeAddress">
    <w:name w:val="envelope address"/>
    <w:basedOn w:val="Normal"/>
    <w:uiPriority w:val="99"/>
    <w:semiHidden/>
    <w:unhideWhenUsed/>
    <w:rsid w:val="00B9181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181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2A3725"/>
    <w:rPr>
      <w:b/>
      <w:color w:val="404040" w:themeColor="text1" w:themeTint="BF"/>
      <w:u w:val="single"/>
      <w:lang w:val="en-GB"/>
    </w:rPr>
  </w:style>
  <w:style w:type="character" w:styleId="FootnoteReference">
    <w:name w:val="footnote reference"/>
    <w:basedOn w:val="DefaultParagraphFont"/>
    <w:uiPriority w:val="99"/>
    <w:semiHidden/>
    <w:unhideWhenUsed/>
    <w:rsid w:val="00B91810"/>
    <w:rPr>
      <w:vertAlign w:val="superscript"/>
      <w:lang w:val="en-GB"/>
    </w:rPr>
  </w:style>
  <w:style w:type="paragraph" w:styleId="FootnoteText">
    <w:name w:val="footnote text"/>
    <w:basedOn w:val="Normal"/>
    <w:link w:val="FootnoteTextChar"/>
    <w:uiPriority w:val="99"/>
    <w:semiHidden/>
    <w:unhideWhenUsed/>
    <w:rsid w:val="00B918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1810"/>
    <w:rPr>
      <w:sz w:val="20"/>
      <w:szCs w:val="20"/>
      <w:lang w:val="en-GB"/>
    </w:rPr>
  </w:style>
  <w:style w:type="character" w:styleId="HTMLAcronym">
    <w:name w:val="HTML Acronym"/>
    <w:basedOn w:val="DefaultParagraphFont"/>
    <w:uiPriority w:val="99"/>
    <w:semiHidden/>
    <w:unhideWhenUsed/>
    <w:rsid w:val="00B91810"/>
    <w:rPr>
      <w:lang w:val="en-GB"/>
    </w:rPr>
  </w:style>
  <w:style w:type="paragraph" w:styleId="HTMLAddress">
    <w:name w:val="HTML Address"/>
    <w:basedOn w:val="Normal"/>
    <w:link w:val="HTMLAddressChar"/>
    <w:uiPriority w:val="99"/>
    <w:semiHidden/>
    <w:unhideWhenUsed/>
    <w:rsid w:val="00B91810"/>
    <w:pPr>
      <w:spacing w:after="0" w:line="240" w:lineRule="auto"/>
    </w:pPr>
    <w:rPr>
      <w:i/>
      <w:iCs/>
    </w:rPr>
  </w:style>
  <w:style w:type="character" w:customStyle="1" w:styleId="HTMLAddressChar">
    <w:name w:val="HTML Address Char"/>
    <w:basedOn w:val="DefaultParagraphFont"/>
    <w:link w:val="HTMLAddress"/>
    <w:uiPriority w:val="99"/>
    <w:semiHidden/>
    <w:rsid w:val="00B91810"/>
    <w:rPr>
      <w:i/>
      <w:iCs/>
      <w:lang w:val="en-GB"/>
    </w:rPr>
  </w:style>
  <w:style w:type="character" w:styleId="HTMLCite">
    <w:name w:val="HTML Cite"/>
    <w:basedOn w:val="DefaultParagraphFont"/>
    <w:uiPriority w:val="99"/>
    <w:semiHidden/>
    <w:unhideWhenUsed/>
    <w:rsid w:val="00B91810"/>
    <w:rPr>
      <w:i/>
      <w:iCs/>
      <w:lang w:val="en-GB"/>
    </w:rPr>
  </w:style>
  <w:style w:type="character" w:styleId="HTMLCode">
    <w:name w:val="HTML Code"/>
    <w:basedOn w:val="DefaultParagraphFont"/>
    <w:uiPriority w:val="99"/>
    <w:semiHidden/>
    <w:unhideWhenUsed/>
    <w:rsid w:val="00B91810"/>
    <w:rPr>
      <w:rFonts w:ascii="Consolas" w:hAnsi="Consolas" w:cs="Consolas"/>
      <w:sz w:val="20"/>
      <w:szCs w:val="20"/>
      <w:lang w:val="en-GB"/>
    </w:rPr>
  </w:style>
  <w:style w:type="character" w:styleId="HTMLDefinition">
    <w:name w:val="HTML Definition"/>
    <w:basedOn w:val="DefaultParagraphFont"/>
    <w:uiPriority w:val="99"/>
    <w:semiHidden/>
    <w:unhideWhenUsed/>
    <w:rsid w:val="00B91810"/>
    <w:rPr>
      <w:i/>
      <w:iCs/>
      <w:lang w:val="en-GB"/>
    </w:rPr>
  </w:style>
  <w:style w:type="character" w:styleId="HTMLKeyboard">
    <w:name w:val="HTML Keyboard"/>
    <w:basedOn w:val="DefaultParagraphFont"/>
    <w:uiPriority w:val="99"/>
    <w:semiHidden/>
    <w:unhideWhenUsed/>
    <w:rsid w:val="00B91810"/>
    <w:rPr>
      <w:rFonts w:ascii="Consolas" w:hAnsi="Consolas" w:cs="Consolas"/>
      <w:sz w:val="20"/>
      <w:szCs w:val="20"/>
      <w:lang w:val="en-GB"/>
    </w:rPr>
  </w:style>
  <w:style w:type="paragraph" w:styleId="HTMLPreformatted">
    <w:name w:val="HTML Preformatted"/>
    <w:basedOn w:val="Normal"/>
    <w:link w:val="HTMLPreformattedChar"/>
    <w:uiPriority w:val="99"/>
    <w:semiHidden/>
    <w:unhideWhenUsed/>
    <w:rsid w:val="00B9181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91810"/>
    <w:rPr>
      <w:rFonts w:ascii="Consolas" w:hAnsi="Consolas" w:cs="Consolas"/>
      <w:sz w:val="20"/>
      <w:szCs w:val="20"/>
      <w:lang w:val="en-GB"/>
    </w:rPr>
  </w:style>
  <w:style w:type="character" w:styleId="HTMLSample">
    <w:name w:val="HTML Sample"/>
    <w:basedOn w:val="DefaultParagraphFont"/>
    <w:uiPriority w:val="99"/>
    <w:semiHidden/>
    <w:unhideWhenUsed/>
    <w:rsid w:val="00B91810"/>
    <w:rPr>
      <w:rFonts w:ascii="Consolas" w:hAnsi="Consolas" w:cs="Consolas"/>
      <w:sz w:val="24"/>
      <w:szCs w:val="24"/>
      <w:lang w:val="en-GB"/>
    </w:rPr>
  </w:style>
  <w:style w:type="character" w:styleId="HTMLTypewriter">
    <w:name w:val="HTML Typewriter"/>
    <w:basedOn w:val="DefaultParagraphFont"/>
    <w:uiPriority w:val="99"/>
    <w:semiHidden/>
    <w:unhideWhenUsed/>
    <w:rsid w:val="00B91810"/>
    <w:rPr>
      <w:rFonts w:ascii="Consolas" w:hAnsi="Consolas" w:cs="Consolas"/>
      <w:sz w:val="20"/>
      <w:szCs w:val="20"/>
      <w:lang w:val="en-GB"/>
    </w:rPr>
  </w:style>
  <w:style w:type="character" w:styleId="HTMLVariable">
    <w:name w:val="HTML Variable"/>
    <w:basedOn w:val="DefaultParagraphFont"/>
    <w:uiPriority w:val="99"/>
    <w:semiHidden/>
    <w:unhideWhenUsed/>
    <w:rsid w:val="00B91810"/>
    <w:rPr>
      <w:i/>
      <w:iCs/>
      <w:lang w:val="en-GB"/>
    </w:rPr>
  </w:style>
  <w:style w:type="paragraph" w:styleId="Index1">
    <w:name w:val="index 1"/>
    <w:basedOn w:val="Normal"/>
    <w:next w:val="Normal"/>
    <w:autoRedefine/>
    <w:uiPriority w:val="99"/>
    <w:semiHidden/>
    <w:unhideWhenUsed/>
    <w:rsid w:val="00B91810"/>
    <w:pPr>
      <w:spacing w:after="0" w:line="240" w:lineRule="auto"/>
      <w:ind w:left="220" w:hanging="220"/>
    </w:pPr>
  </w:style>
  <w:style w:type="paragraph" w:styleId="Index2">
    <w:name w:val="index 2"/>
    <w:basedOn w:val="Normal"/>
    <w:next w:val="Normal"/>
    <w:autoRedefine/>
    <w:uiPriority w:val="99"/>
    <w:semiHidden/>
    <w:unhideWhenUsed/>
    <w:rsid w:val="00B91810"/>
    <w:pPr>
      <w:spacing w:after="0" w:line="240" w:lineRule="auto"/>
      <w:ind w:left="440" w:hanging="220"/>
    </w:pPr>
  </w:style>
  <w:style w:type="paragraph" w:styleId="Index3">
    <w:name w:val="index 3"/>
    <w:basedOn w:val="Normal"/>
    <w:next w:val="Normal"/>
    <w:autoRedefine/>
    <w:uiPriority w:val="99"/>
    <w:semiHidden/>
    <w:unhideWhenUsed/>
    <w:rsid w:val="00B91810"/>
    <w:pPr>
      <w:spacing w:after="0" w:line="240" w:lineRule="auto"/>
      <w:ind w:left="660" w:hanging="220"/>
    </w:pPr>
  </w:style>
  <w:style w:type="paragraph" w:styleId="Index4">
    <w:name w:val="index 4"/>
    <w:basedOn w:val="Normal"/>
    <w:next w:val="Normal"/>
    <w:autoRedefine/>
    <w:uiPriority w:val="99"/>
    <w:semiHidden/>
    <w:unhideWhenUsed/>
    <w:rsid w:val="00B91810"/>
    <w:pPr>
      <w:spacing w:after="0" w:line="240" w:lineRule="auto"/>
      <w:ind w:left="880" w:hanging="220"/>
    </w:pPr>
  </w:style>
  <w:style w:type="paragraph" w:styleId="Index5">
    <w:name w:val="index 5"/>
    <w:basedOn w:val="Normal"/>
    <w:next w:val="Normal"/>
    <w:autoRedefine/>
    <w:uiPriority w:val="99"/>
    <w:semiHidden/>
    <w:unhideWhenUsed/>
    <w:rsid w:val="00B91810"/>
    <w:pPr>
      <w:spacing w:after="0" w:line="240" w:lineRule="auto"/>
      <w:ind w:left="1100" w:hanging="220"/>
    </w:pPr>
  </w:style>
  <w:style w:type="paragraph" w:styleId="Index6">
    <w:name w:val="index 6"/>
    <w:basedOn w:val="Normal"/>
    <w:next w:val="Normal"/>
    <w:autoRedefine/>
    <w:uiPriority w:val="99"/>
    <w:semiHidden/>
    <w:unhideWhenUsed/>
    <w:rsid w:val="00B91810"/>
    <w:pPr>
      <w:spacing w:after="0" w:line="240" w:lineRule="auto"/>
      <w:ind w:left="1320" w:hanging="220"/>
    </w:pPr>
  </w:style>
  <w:style w:type="paragraph" w:styleId="Index7">
    <w:name w:val="index 7"/>
    <w:basedOn w:val="Normal"/>
    <w:next w:val="Normal"/>
    <w:autoRedefine/>
    <w:uiPriority w:val="99"/>
    <w:semiHidden/>
    <w:unhideWhenUsed/>
    <w:rsid w:val="00B91810"/>
    <w:pPr>
      <w:spacing w:after="0" w:line="240" w:lineRule="auto"/>
      <w:ind w:left="1540" w:hanging="220"/>
    </w:pPr>
  </w:style>
  <w:style w:type="paragraph" w:styleId="Index8">
    <w:name w:val="index 8"/>
    <w:basedOn w:val="Normal"/>
    <w:next w:val="Normal"/>
    <w:autoRedefine/>
    <w:uiPriority w:val="99"/>
    <w:semiHidden/>
    <w:unhideWhenUsed/>
    <w:rsid w:val="00B91810"/>
    <w:pPr>
      <w:spacing w:after="0" w:line="240" w:lineRule="auto"/>
      <w:ind w:left="1760" w:hanging="220"/>
    </w:pPr>
  </w:style>
  <w:style w:type="paragraph" w:styleId="Index9">
    <w:name w:val="index 9"/>
    <w:basedOn w:val="Normal"/>
    <w:next w:val="Normal"/>
    <w:autoRedefine/>
    <w:uiPriority w:val="99"/>
    <w:semiHidden/>
    <w:unhideWhenUsed/>
    <w:rsid w:val="00B91810"/>
    <w:pPr>
      <w:spacing w:after="0" w:line="240" w:lineRule="auto"/>
      <w:ind w:left="1980" w:hanging="220"/>
    </w:pPr>
  </w:style>
  <w:style w:type="paragraph" w:styleId="IndexHeading">
    <w:name w:val="index heading"/>
    <w:basedOn w:val="Normal"/>
    <w:next w:val="Index1"/>
    <w:uiPriority w:val="99"/>
    <w:semiHidden/>
    <w:unhideWhenUsed/>
    <w:rsid w:val="00B91810"/>
    <w:rPr>
      <w:rFonts w:asciiTheme="majorHAnsi" w:eastAsiaTheme="majorEastAsia" w:hAnsiTheme="majorHAnsi" w:cstheme="majorBidi"/>
      <w:b/>
      <w:bCs/>
    </w:rPr>
  </w:style>
  <w:style w:type="character" w:styleId="IntenseEmphasis">
    <w:name w:val="Intense Emphasis"/>
    <w:basedOn w:val="DefaultParagraphFont"/>
    <w:uiPriority w:val="21"/>
    <w:semiHidden/>
    <w:rsid w:val="00B91810"/>
    <w:rPr>
      <w:b/>
      <w:bCs/>
      <w:i/>
      <w:iCs/>
      <w:color w:val="86B3CB" w:themeColor="accent1"/>
      <w:lang w:val="en-GB"/>
    </w:rPr>
  </w:style>
  <w:style w:type="paragraph" w:styleId="IntenseQuote">
    <w:name w:val="Intense Quote"/>
    <w:basedOn w:val="Normal"/>
    <w:next w:val="Normal"/>
    <w:link w:val="IntenseQuoteChar"/>
    <w:uiPriority w:val="30"/>
    <w:semiHidden/>
    <w:rsid w:val="00B91810"/>
    <w:pPr>
      <w:pBdr>
        <w:bottom w:val="single" w:sz="4" w:space="4" w:color="86B3CB" w:themeColor="accent1"/>
      </w:pBdr>
      <w:spacing w:before="200" w:after="280"/>
      <w:ind w:left="936" w:right="936"/>
    </w:pPr>
    <w:rPr>
      <w:b/>
      <w:bCs/>
      <w:i/>
      <w:iCs/>
      <w:color w:val="86B3CB" w:themeColor="accent1"/>
    </w:rPr>
  </w:style>
  <w:style w:type="character" w:customStyle="1" w:styleId="IntenseQuoteChar">
    <w:name w:val="Intense Quote Char"/>
    <w:basedOn w:val="DefaultParagraphFont"/>
    <w:link w:val="IntenseQuote"/>
    <w:uiPriority w:val="30"/>
    <w:rsid w:val="00B91810"/>
    <w:rPr>
      <w:b/>
      <w:bCs/>
      <w:i/>
      <w:iCs/>
      <w:color w:val="86B3CB" w:themeColor="accent1"/>
      <w:lang w:val="en-GB"/>
    </w:rPr>
  </w:style>
  <w:style w:type="character" w:styleId="IntenseReference">
    <w:name w:val="Intense Reference"/>
    <w:basedOn w:val="DefaultParagraphFont"/>
    <w:uiPriority w:val="32"/>
    <w:semiHidden/>
    <w:rsid w:val="00B91810"/>
    <w:rPr>
      <w:b/>
      <w:bCs/>
      <w:smallCaps/>
      <w:color w:val="926899" w:themeColor="accent2"/>
      <w:spacing w:val="5"/>
      <w:u w:val="single"/>
      <w:lang w:val="en-GB"/>
    </w:rPr>
  </w:style>
  <w:style w:type="table" w:styleId="LightGrid">
    <w:name w:val="Light Grid"/>
    <w:basedOn w:val="TableNormal"/>
    <w:uiPriority w:val="62"/>
    <w:semiHidden/>
    <w:rsid w:val="00B918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B91810"/>
    <w:pPr>
      <w:spacing w:after="0" w:line="240" w:lineRule="auto"/>
    </w:pPr>
    <w:tblPr>
      <w:tblStyleRowBandSize w:val="1"/>
      <w:tblStyleColBandSize w:val="1"/>
      <w:tblBorders>
        <w:top w:val="single" w:sz="8" w:space="0" w:color="86B3CB" w:themeColor="accent1"/>
        <w:left w:val="single" w:sz="8" w:space="0" w:color="86B3CB" w:themeColor="accent1"/>
        <w:bottom w:val="single" w:sz="8" w:space="0" w:color="86B3CB" w:themeColor="accent1"/>
        <w:right w:val="single" w:sz="8" w:space="0" w:color="86B3CB" w:themeColor="accent1"/>
        <w:insideH w:val="single" w:sz="8" w:space="0" w:color="86B3CB" w:themeColor="accent1"/>
        <w:insideV w:val="single" w:sz="8" w:space="0" w:color="86B3C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3CB" w:themeColor="accent1"/>
          <w:left w:val="single" w:sz="8" w:space="0" w:color="86B3CB" w:themeColor="accent1"/>
          <w:bottom w:val="single" w:sz="18" w:space="0" w:color="86B3CB" w:themeColor="accent1"/>
          <w:right w:val="single" w:sz="8" w:space="0" w:color="86B3CB" w:themeColor="accent1"/>
          <w:insideH w:val="nil"/>
          <w:insideV w:val="single" w:sz="8" w:space="0" w:color="86B3C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3CB" w:themeColor="accent1"/>
          <w:left w:val="single" w:sz="8" w:space="0" w:color="86B3CB" w:themeColor="accent1"/>
          <w:bottom w:val="single" w:sz="8" w:space="0" w:color="86B3CB" w:themeColor="accent1"/>
          <w:right w:val="single" w:sz="8" w:space="0" w:color="86B3CB" w:themeColor="accent1"/>
          <w:insideH w:val="nil"/>
          <w:insideV w:val="single" w:sz="8" w:space="0" w:color="86B3C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3CB" w:themeColor="accent1"/>
          <w:left w:val="single" w:sz="8" w:space="0" w:color="86B3CB" w:themeColor="accent1"/>
          <w:bottom w:val="single" w:sz="8" w:space="0" w:color="86B3CB" w:themeColor="accent1"/>
          <w:right w:val="single" w:sz="8" w:space="0" w:color="86B3CB" w:themeColor="accent1"/>
        </w:tcBorders>
      </w:tcPr>
    </w:tblStylePr>
    <w:tblStylePr w:type="band1Vert">
      <w:tblPr/>
      <w:tcPr>
        <w:tcBorders>
          <w:top w:val="single" w:sz="8" w:space="0" w:color="86B3CB" w:themeColor="accent1"/>
          <w:left w:val="single" w:sz="8" w:space="0" w:color="86B3CB" w:themeColor="accent1"/>
          <w:bottom w:val="single" w:sz="8" w:space="0" w:color="86B3CB" w:themeColor="accent1"/>
          <w:right w:val="single" w:sz="8" w:space="0" w:color="86B3CB" w:themeColor="accent1"/>
        </w:tcBorders>
        <w:shd w:val="clear" w:color="auto" w:fill="E0ECF2" w:themeFill="accent1" w:themeFillTint="3F"/>
      </w:tcPr>
    </w:tblStylePr>
    <w:tblStylePr w:type="band1Horz">
      <w:tblPr/>
      <w:tcPr>
        <w:tcBorders>
          <w:top w:val="single" w:sz="8" w:space="0" w:color="86B3CB" w:themeColor="accent1"/>
          <w:left w:val="single" w:sz="8" w:space="0" w:color="86B3CB" w:themeColor="accent1"/>
          <w:bottom w:val="single" w:sz="8" w:space="0" w:color="86B3CB" w:themeColor="accent1"/>
          <w:right w:val="single" w:sz="8" w:space="0" w:color="86B3CB" w:themeColor="accent1"/>
          <w:insideV w:val="single" w:sz="8" w:space="0" w:color="86B3CB" w:themeColor="accent1"/>
        </w:tcBorders>
        <w:shd w:val="clear" w:color="auto" w:fill="E0ECF2" w:themeFill="accent1" w:themeFillTint="3F"/>
      </w:tcPr>
    </w:tblStylePr>
    <w:tblStylePr w:type="band2Horz">
      <w:tblPr/>
      <w:tcPr>
        <w:tcBorders>
          <w:top w:val="single" w:sz="8" w:space="0" w:color="86B3CB" w:themeColor="accent1"/>
          <w:left w:val="single" w:sz="8" w:space="0" w:color="86B3CB" w:themeColor="accent1"/>
          <w:bottom w:val="single" w:sz="8" w:space="0" w:color="86B3CB" w:themeColor="accent1"/>
          <w:right w:val="single" w:sz="8" w:space="0" w:color="86B3CB" w:themeColor="accent1"/>
          <w:insideV w:val="single" w:sz="8" w:space="0" w:color="86B3CB" w:themeColor="accent1"/>
        </w:tcBorders>
      </w:tcPr>
    </w:tblStylePr>
  </w:style>
  <w:style w:type="table" w:styleId="LightGrid-Accent2">
    <w:name w:val="Light Grid Accent 2"/>
    <w:basedOn w:val="TableNormal"/>
    <w:uiPriority w:val="62"/>
    <w:semiHidden/>
    <w:rsid w:val="00B91810"/>
    <w:pPr>
      <w:spacing w:after="0" w:line="240" w:lineRule="auto"/>
    </w:pPr>
    <w:tblPr>
      <w:tblStyleRowBandSize w:val="1"/>
      <w:tblStyleColBandSize w:val="1"/>
      <w:tblBorders>
        <w:top w:val="single" w:sz="8" w:space="0" w:color="926899" w:themeColor="accent2"/>
        <w:left w:val="single" w:sz="8" w:space="0" w:color="926899" w:themeColor="accent2"/>
        <w:bottom w:val="single" w:sz="8" w:space="0" w:color="926899" w:themeColor="accent2"/>
        <w:right w:val="single" w:sz="8" w:space="0" w:color="926899" w:themeColor="accent2"/>
        <w:insideH w:val="single" w:sz="8" w:space="0" w:color="926899" w:themeColor="accent2"/>
        <w:insideV w:val="single" w:sz="8" w:space="0" w:color="92689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6899" w:themeColor="accent2"/>
          <w:left w:val="single" w:sz="8" w:space="0" w:color="926899" w:themeColor="accent2"/>
          <w:bottom w:val="single" w:sz="18" w:space="0" w:color="926899" w:themeColor="accent2"/>
          <w:right w:val="single" w:sz="8" w:space="0" w:color="926899" w:themeColor="accent2"/>
          <w:insideH w:val="nil"/>
          <w:insideV w:val="single" w:sz="8" w:space="0" w:color="92689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6899" w:themeColor="accent2"/>
          <w:left w:val="single" w:sz="8" w:space="0" w:color="926899" w:themeColor="accent2"/>
          <w:bottom w:val="single" w:sz="8" w:space="0" w:color="926899" w:themeColor="accent2"/>
          <w:right w:val="single" w:sz="8" w:space="0" w:color="926899" w:themeColor="accent2"/>
          <w:insideH w:val="nil"/>
          <w:insideV w:val="single" w:sz="8" w:space="0" w:color="92689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6899" w:themeColor="accent2"/>
          <w:left w:val="single" w:sz="8" w:space="0" w:color="926899" w:themeColor="accent2"/>
          <w:bottom w:val="single" w:sz="8" w:space="0" w:color="926899" w:themeColor="accent2"/>
          <w:right w:val="single" w:sz="8" w:space="0" w:color="926899" w:themeColor="accent2"/>
        </w:tcBorders>
      </w:tcPr>
    </w:tblStylePr>
    <w:tblStylePr w:type="band1Vert">
      <w:tblPr/>
      <w:tcPr>
        <w:tcBorders>
          <w:top w:val="single" w:sz="8" w:space="0" w:color="926899" w:themeColor="accent2"/>
          <w:left w:val="single" w:sz="8" w:space="0" w:color="926899" w:themeColor="accent2"/>
          <w:bottom w:val="single" w:sz="8" w:space="0" w:color="926899" w:themeColor="accent2"/>
          <w:right w:val="single" w:sz="8" w:space="0" w:color="926899" w:themeColor="accent2"/>
        </w:tcBorders>
        <w:shd w:val="clear" w:color="auto" w:fill="E4D9E5" w:themeFill="accent2" w:themeFillTint="3F"/>
      </w:tcPr>
    </w:tblStylePr>
    <w:tblStylePr w:type="band1Horz">
      <w:tblPr/>
      <w:tcPr>
        <w:tcBorders>
          <w:top w:val="single" w:sz="8" w:space="0" w:color="926899" w:themeColor="accent2"/>
          <w:left w:val="single" w:sz="8" w:space="0" w:color="926899" w:themeColor="accent2"/>
          <w:bottom w:val="single" w:sz="8" w:space="0" w:color="926899" w:themeColor="accent2"/>
          <w:right w:val="single" w:sz="8" w:space="0" w:color="926899" w:themeColor="accent2"/>
          <w:insideV w:val="single" w:sz="8" w:space="0" w:color="926899" w:themeColor="accent2"/>
        </w:tcBorders>
        <w:shd w:val="clear" w:color="auto" w:fill="E4D9E5" w:themeFill="accent2" w:themeFillTint="3F"/>
      </w:tcPr>
    </w:tblStylePr>
    <w:tblStylePr w:type="band2Horz">
      <w:tblPr/>
      <w:tcPr>
        <w:tcBorders>
          <w:top w:val="single" w:sz="8" w:space="0" w:color="926899" w:themeColor="accent2"/>
          <w:left w:val="single" w:sz="8" w:space="0" w:color="926899" w:themeColor="accent2"/>
          <w:bottom w:val="single" w:sz="8" w:space="0" w:color="926899" w:themeColor="accent2"/>
          <w:right w:val="single" w:sz="8" w:space="0" w:color="926899" w:themeColor="accent2"/>
          <w:insideV w:val="single" w:sz="8" w:space="0" w:color="926899" w:themeColor="accent2"/>
        </w:tcBorders>
      </w:tcPr>
    </w:tblStylePr>
  </w:style>
  <w:style w:type="table" w:styleId="LightGrid-Accent3">
    <w:name w:val="Light Grid Accent 3"/>
    <w:basedOn w:val="TableNormal"/>
    <w:uiPriority w:val="62"/>
    <w:semiHidden/>
    <w:rsid w:val="00B91810"/>
    <w:pPr>
      <w:spacing w:after="0" w:line="240" w:lineRule="auto"/>
    </w:pPr>
    <w:tblPr>
      <w:tblStyleRowBandSize w:val="1"/>
      <w:tblStyleColBandSize w:val="1"/>
      <w:tblBorders>
        <w:top w:val="single" w:sz="8" w:space="0" w:color="7DC574" w:themeColor="accent3"/>
        <w:left w:val="single" w:sz="8" w:space="0" w:color="7DC574" w:themeColor="accent3"/>
        <w:bottom w:val="single" w:sz="8" w:space="0" w:color="7DC574" w:themeColor="accent3"/>
        <w:right w:val="single" w:sz="8" w:space="0" w:color="7DC574" w:themeColor="accent3"/>
        <w:insideH w:val="single" w:sz="8" w:space="0" w:color="7DC574" w:themeColor="accent3"/>
        <w:insideV w:val="single" w:sz="8" w:space="0" w:color="7DC57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C574" w:themeColor="accent3"/>
          <w:left w:val="single" w:sz="8" w:space="0" w:color="7DC574" w:themeColor="accent3"/>
          <w:bottom w:val="single" w:sz="18" w:space="0" w:color="7DC574" w:themeColor="accent3"/>
          <w:right w:val="single" w:sz="8" w:space="0" w:color="7DC574" w:themeColor="accent3"/>
          <w:insideH w:val="nil"/>
          <w:insideV w:val="single" w:sz="8" w:space="0" w:color="7DC57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C574" w:themeColor="accent3"/>
          <w:left w:val="single" w:sz="8" w:space="0" w:color="7DC574" w:themeColor="accent3"/>
          <w:bottom w:val="single" w:sz="8" w:space="0" w:color="7DC574" w:themeColor="accent3"/>
          <w:right w:val="single" w:sz="8" w:space="0" w:color="7DC574" w:themeColor="accent3"/>
          <w:insideH w:val="nil"/>
          <w:insideV w:val="single" w:sz="8" w:space="0" w:color="7DC57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C574" w:themeColor="accent3"/>
          <w:left w:val="single" w:sz="8" w:space="0" w:color="7DC574" w:themeColor="accent3"/>
          <w:bottom w:val="single" w:sz="8" w:space="0" w:color="7DC574" w:themeColor="accent3"/>
          <w:right w:val="single" w:sz="8" w:space="0" w:color="7DC574" w:themeColor="accent3"/>
        </w:tcBorders>
      </w:tcPr>
    </w:tblStylePr>
    <w:tblStylePr w:type="band1Vert">
      <w:tblPr/>
      <w:tcPr>
        <w:tcBorders>
          <w:top w:val="single" w:sz="8" w:space="0" w:color="7DC574" w:themeColor="accent3"/>
          <w:left w:val="single" w:sz="8" w:space="0" w:color="7DC574" w:themeColor="accent3"/>
          <w:bottom w:val="single" w:sz="8" w:space="0" w:color="7DC574" w:themeColor="accent3"/>
          <w:right w:val="single" w:sz="8" w:space="0" w:color="7DC574" w:themeColor="accent3"/>
        </w:tcBorders>
        <w:shd w:val="clear" w:color="auto" w:fill="DEF0DC" w:themeFill="accent3" w:themeFillTint="3F"/>
      </w:tcPr>
    </w:tblStylePr>
    <w:tblStylePr w:type="band1Horz">
      <w:tblPr/>
      <w:tcPr>
        <w:tcBorders>
          <w:top w:val="single" w:sz="8" w:space="0" w:color="7DC574" w:themeColor="accent3"/>
          <w:left w:val="single" w:sz="8" w:space="0" w:color="7DC574" w:themeColor="accent3"/>
          <w:bottom w:val="single" w:sz="8" w:space="0" w:color="7DC574" w:themeColor="accent3"/>
          <w:right w:val="single" w:sz="8" w:space="0" w:color="7DC574" w:themeColor="accent3"/>
          <w:insideV w:val="single" w:sz="8" w:space="0" w:color="7DC574" w:themeColor="accent3"/>
        </w:tcBorders>
        <w:shd w:val="clear" w:color="auto" w:fill="DEF0DC" w:themeFill="accent3" w:themeFillTint="3F"/>
      </w:tcPr>
    </w:tblStylePr>
    <w:tblStylePr w:type="band2Horz">
      <w:tblPr/>
      <w:tcPr>
        <w:tcBorders>
          <w:top w:val="single" w:sz="8" w:space="0" w:color="7DC574" w:themeColor="accent3"/>
          <w:left w:val="single" w:sz="8" w:space="0" w:color="7DC574" w:themeColor="accent3"/>
          <w:bottom w:val="single" w:sz="8" w:space="0" w:color="7DC574" w:themeColor="accent3"/>
          <w:right w:val="single" w:sz="8" w:space="0" w:color="7DC574" w:themeColor="accent3"/>
          <w:insideV w:val="single" w:sz="8" w:space="0" w:color="7DC574" w:themeColor="accent3"/>
        </w:tcBorders>
      </w:tcPr>
    </w:tblStylePr>
  </w:style>
  <w:style w:type="table" w:styleId="LightGrid-Accent4">
    <w:name w:val="Light Grid Accent 4"/>
    <w:basedOn w:val="TableNormal"/>
    <w:uiPriority w:val="62"/>
    <w:semiHidden/>
    <w:rsid w:val="00B91810"/>
    <w:pPr>
      <w:spacing w:after="0" w:line="240" w:lineRule="auto"/>
    </w:pPr>
    <w:tblPr>
      <w:tblStyleRowBandSize w:val="1"/>
      <w:tblStyleColBandSize w:val="1"/>
      <w:tblBorders>
        <w:top w:val="single" w:sz="8" w:space="0" w:color="F8982D" w:themeColor="accent4"/>
        <w:left w:val="single" w:sz="8" w:space="0" w:color="F8982D" w:themeColor="accent4"/>
        <w:bottom w:val="single" w:sz="8" w:space="0" w:color="F8982D" w:themeColor="accent4"/>
        <w:right w:val="single" w:sz="8" w:space="0" w:color="F8982D" w:themeColor="accent4"/>
        <w:insideH w:val="single" w:sz="8" w:space="0" w:color="F8982D" w:themeColor="accent4"/>
        <w:insideV w:val="single" w:sz="8" w:space="0" w:color="F8982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82D" w:themeColor="accent4"/>
          <w:left w:val="single" w:sz="8" w:space="0" w:color="F8982D" w:themeColor="accent4"/>
          <w:bottom w:val="single" w:sz="18" w:space="0" w:color="F8982D" w:themeColor="accent4"/>
          <w:right w:val="single" w:sz="8" w:space="0" w:color="F8982D" w:themeColor="accent4"/>
          <w:insideH w:val="nil"/>
          <w:insideV w:val="single" w:sz="8" w:space="0" w:color="F8982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82D" w:themeColor="accent4"/>
          <w:left w:val="single" w:sz="8" w:space="0" w:color="F8982D" w:themeColor="accent4"/>
          <w:bottom w:val="single" w:sz="8" w:space="0" w:color="F8982D" w:themeColor="accent4"/>
          <w:right w:val="single" w:sz="8" w:space="0" w:color="F8982D" w:themeColor="accent4"/>
          <w:insideH w:val="nil"/>
          <w:insideV w:val="single" w:sz="8" w:space="0" w:color="F8982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82D" w:themeColor="accent4"/>
          <w:left w:val="single" w:sz="8" w:space="0" w:color="F8982D" w:themeColor="accent4"/>
          <w:bottom w:val="single" w:sz="8" w:space="0" w:color="F8982D" w:themeColor="accent4"/>
          <w:right w:val="single" w:sz="8" w:space="0" w:color="F8982D" w:themeColor="accent4"/>
        </w:tcBorders>
      </w:tcPr>
    </w:tblStylePr>
    <w:tblStylePr w:type="band1Vert">
      <w:tblPr/>
      <w:tcPr>
        <w:tcBorders>
          <w:top w:val="single" w:sz="8" w:space="0" w:color="F8982D" w:themeColor="accent4"/>
          <w:left w:val="single" w:sz="8" w:space="0" w:color="F8982D" w:themeColor="accent4"/>
          <w:bottom w:val="single" w:sz="8" w:space="0" w:color="F8982D" w:themeColor="accent4"/>
          <w:right w:val="single" w:sz="8" w:space="0" w:color="F8982D" w:themeColor="accent4"/>
        </w:tcBorders>
        <w:shd w:val="clear" w:color="auto" w:fill="FDE5CB" w:themeFill="accent4" w:themeFillTint="3F"/>
      </w:tcPr>
    </w:tblStylePr>
    <w:tblStylePr w:type="band1Horz">
      <w:tblPr/>
      <w:tcPr>
        <w:tcBorders>
          <w:top w:val="single" w:sz="8" w:space="0" w:color="F8982D" w:themeColor="accent4"/>
          <w:left w:val="single" w:sz="8" w:space="0" w:color="F8982D" w:themeColor="accent4"/>
          <w:bottom w:val="single" w:sz="8" w:space="0" w:color="F8982D" w:themeColor="accent4"/>
          <w:right w:val="single" w:sz="8" w:space="0" w:color="F8982D" w:themeColor="accent4"/>
          <w:insideV w:val="single" w:sz="8" w:space="0" w:color="F8982D" w:themeColor="accent4"/>
        </w:tcBorders>
        <w:shd w:val="clear" w:color="auto" w:fill="FDE5CB" w:themeFill="accent4" w:themeFillTint="3F"/>
      </w:tcPr>
    </w:tblStylePr>
    <w:tblStylePr w:type="band2Horz">
      <w:tblPr/>
      <w:tcPr>
        <w:tcBorders>
          <w:top w:val="single" w:sz="8" w:space="0" w:color="F8982D" w:themeColor="accent4"/>
          <w:left w:val="single" w:sz="8" w:space="0" w:color="F8982D" w:themeColor="accent4"/>
          <w:bottom w:val="single" w:sz="8" w:space="0" w:color="F8982D" w:themeColor="accent4"/>
          <w:right w:val="single" w:sz="8" w:space="0" w:color="F8982D" w:themeColor="accent4"/>
          <w:insideV w:val="single" w:sz="8" w:space="0" w:color="F8982D" w:themeColor="accent4"/>
        </w:tcBorders>
      </w:tcPr>
    </w:tblStylePr>
  </w:style>
  <w:style w:type="table" w:styleId="LightGrid-Accent5">
    <w:name w:val="Light Grid Accent 5"/>
    <w:basedOn w:val="TableNormal"/>
    <w:uiPriority w:val="62"/>
    <w:semiHidden/>
    <w:rsid w:val="00B91810"/>
    <w:pPr>
      <w:spacing w:after="0" w:line="240" w:lineRule="auto"/>
    </w:pPr>
    <w:tblPr>
      <w:tblStyleRowBandSize w:val="1"/>
      <w:tblStyleColBandSize w:val="1"/>
      <w:tblBorders>
        <w:top w:val="single" w:sz="8" w:space="0" w:color="369A98" w:themeColor="accent5"/>
        <w:left w:val="single" w:sz="8" w:space="0" w:color="369A98" w:themeColor="accent5"/>
        <w:bottom w:val="single" w:sz="8" w:space="0" w:color="369A98" w:themeColor="accent5"/>
        <w:right w:val="single" w:sz="8" w:space="0" w:color="369A98" w:themeColor="accent5"/>
        <w:insideH w:val="single" w:sz="8" w:space="0" w:color="369A98" w:themeColor="accent5"/>
        <w:insideV w:val="single" w:sz="8" w:space="0" w:color="369A9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9A98" w:themeColor="accent5"/>
          <w:left w:val="single" w:sz="8" w:space="0" w:color="369A98" w:themeColor="accent5"/>
          <w:bottom w:val="single" w:sz="18" w:space="0" w:color="369A98" w:themeColor="accent5"/>
          <w:right w:val="single" w:sz="8" w:space="0" w:color="369A98" w:themeColor="accent5"/>
          <w:insideH w:val="nil"/>
          <w:insideV w:val="single" w:sz="8" w:space="0" w:color="369A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9A98" w:themeColor="accent5"/>
          <w:left w:val="single" w:sz="8" w:space="0" w:color="369A98" w:themeColor="accent5"/>
          <w:bottom w:val="single" w:sz="8" w:space="0" w:color="369A98" w:themeColor="accent5"/>
          <w:right w:val="single" w:sz="8" w:space="0" w:color="369A98" w:themeColor="accent5"/>
          <w:insideH w:val="nil"/>
          <w:insideV w:val="single" w:sz="8" w:space="0" w:color="369A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9A98" w:themeColor="accent5"/>
          <w:left w:val="single" w:sz="8" w:space="0" w:color="369A98" w:themeColor="accent5"/>
          <w:bottom w:val="single" w:sz="8" w:space="0" w:color="369A98" w:themeColor="accent5"/>
          <w:right w:val="single" w:sz="8" w:space="0" w:color="369A98" w:themeColor="accent5"/>
        </w:tcBorders>
      </w:tcPr>
    </w:tblStylePr>
    <w:tblStylePr w:type="band1Vert">
      <w:tblPr/>
      <w:tcPr>
        <w:tcBorders>
          <w:top w:val="single" w:sz="8" w:space="0" w:color="369A98" w:themeColor="accent5"/>
          <w:left w:val="single" w:sz="8" w:space="0" w:color="369A98" w:themeColor="accent5"/>
          <w:bottom w:val="single" w:sz="8" w:space="0" w:color="369A98" w:themeColor="accent5"/>
          <w:right w:val="single" w:sz="8" w:space="0" w:color="369A98" w:themeColor="accent5"/>
        </w:tcBorders>
        <w:shd w:val="clear" w:color="auto" w:fill="C7EBEA" w:themeFill="accent5" w:themeFillTint="3F"/>
      </w:tcPr>
    </w:tblStylePr>
    <w:tblStylePr w:type="band1Horz">
      <w:tblPr/>
      <w:tcPr>
        <w:tcBorders>
          <w:top w:val="single" w:sz="8" w:space="0" w:color="369A98" w:themeColor="accent5"/>
          <w:left w:val="single" w:sz="8" w:space="0" w:color="369A98" w:themeColor="accent5"/>
          <w:bottom w:val="single" w:sz="8" w:space="0" w:color="369A98" w:themeColor="accent5"/>
          <w:right w:val="single" w:sz="8" w:space="0" w:color="369A98" w:themeColor="accent5"/>
          <w:insideV w:val="single" w:sz="8" w:space="0" w:color="369A98" w:themeColor="accent5"/>
        </w:tcBorders>
        <w:shd w:val="clear" w:color="auto" w:fill="C7EBEA" w:themeFill="accent5" w:themeFillTint="3F"/>
      </w:tcPr>
    </w:tblStylePr>
    <w:tblStylePr w:type="band2Horz">
      <w:tblPr/>
      <w:tcPr>
        <w:tcBorders>
          <w:top w:val="single" w:sz="8" w:space="0" w:color="369A98" w:themeColor="accent5"/>
          <w:left w:val="single" w:sz="8" w:space="0" w:color="369A98" w:themeColor="accent5"/>
          <w:bottom w:val="single" w:sz="8" w:space="0" w:color="369A98" w:themeColor="accent5"/>
          <w:right w:val="single" w:sz="8" w:space="0" w:color="369A98" w:themeColor="accent5"/>
          <w:insideV w:val="single" w:sz="8" w:space="0" w:color="369A98" w:themeColor="accent5"/>
        </w:tcBorders>
      </w:tcPr>
    </w:tblStylePr>
  </w:style>
  <w:style w:type="table" w:styleId="LightGrid-Accent6">
    <w:name w:val="Light Grid Accent 6"/>
    <w:basedOn w:val="TableNormal"/>
    <w:uiPriority w:val="62"/>
    <w:semiHidden/>
    <w:rsid w:val="00B91810"/>
    <w:pPr>
      <w:spacing w:after="0" w:line="240" w:lineRule="auto"/>
    </w:pPr>
    <w:tblPr>
      <w:tblStyleRowBandSize w:val="1"/>
      <w:tblStyleColBandSize w:val="1"/>
      <w:tblBorders>
        <w:top w:val="single" w:sz="8" w:space="0" w:color="EFF6FA" w:themeColor="accent6"/>
        <w:left w:val="single" w:sz="8" w:space="0" w:color="EFF6FA" w:themeColor="accent6"/>
        <w:bottom w:val="single" w:sz="8" w:space="0" w:color="EFF6FA" w:themeColor="accent6"/>
        <w:right w:val="single" w:sz="8" w:space="0" w:color="EFF6FA" w:themeColor="accent6"/>
        <w:insideH w:val="single" w:sz="8" w:space="0" w:color="EFF6FA" w:themeColor="accent6"/>
        <w:insideV w:val="single" w:sz="8" w:space="0" w:color="EFF6F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F6FA" w:themeColor="accent6"/>
          <w:left w:val="single" w:sz="8" w:space="0" w:color="EFF6FA" w:themeColor="accent6"/>
          <w:bottom w:val="single" w:sz="18" w:space="0" w:color="EFF6FA" w:themeColor="accent6"/>
          <w:right w:val="single" w:sz="8" w:space="0" w:color="EFF6FA" w:themeColor="accent6"/>
          <w:insideH w:val="nil"/>
          <w:insideV w:val="single" w:sz="8" w:space="0" w:color="EFF6F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F6FA" w:themeColor="accent6"/>
          <w:left w:val="single" w:sz="8" w:space="0" w:color="EFF6FA" w:themeColor="accent6"/>
          <w:bottom w:val="single" w:sz="8" w:space="0" w:color="EFF6FA" w:themeColor="accent6"/>
          <w:right w:val="single" w:sz="8" w:space="0" w:color="EFF6FA" w:themeColor="accent6"/>
          <w:insideH w:val="nil"/>
          <w:insideV w:val="single" w:sz="8" w:space="0" w:color="EFF6F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F6FA" w:themeColor="accent6"/>
          <w:left w:val="single" w:sz="8" w:space="0" w:color="EFF6FA" w:themeColor="accent6"/>
          <w:bottom w:val="single" w:sz="8" w:space="0" w:color="EFF6FA" w:themeColor="accent6"/>
          <w:right w:val="single" w:sz="8" w:space="0" w:color="EFF6FA" w:themeColor="accent6"/>
        </w:tcBorders>
      </w:tcPr>
    </w:tblStylePr>
    <w:tblStylePr w:type="band1Vert">
      <w:tblPr/>
      <w:tcPr>
        <w:tcBorders>
          <w:top w:val="single" w:sz="8" w:space="0" w:color="EFF6FA" w:themeColor="accent6"/>
          <w:left w:val="single" w:sz="8" w:space="0" w:color="EFF6FA" w:themeColor="accent6"/>
          <w:bottom w:val="single" w:sz="8" w:space="0" w:color="EFF6FA" w:themeColor="accent6"/>
          <w:right w:val="single" w:sz="8" w:space="0" w:color="EFF6FA" w:themeColor="accent6"/>
        </w:tcBorders>
        <w:shd w:val="clear" w:color="auto" w:fill="FAFCFD" w:themeFill="accent6" w:themeFillTint="3F"/>
      </w:tcPr>
    </w:tblStylePr>
    <w:tblStylePr w:type="band1Horz">
      <w:tblPr/>
      <w:tcPr>
        <w:tcBorders>
          <w:top w:val="single" w:sz="8" w:space="0" w:color="EFF6FA" w:themeColor="accent6"/>
          <w:left w:val="single" w:sz="8" w:space="0" w:color="EFF6FA" w:themeColor="accent6"/>
          <w:bottom w:val="single" w:sz="8" w:space="0" w:color="EFF6FA" w:themeColor="accent6"/>
          <w:right w:val="single" w:sz="8" w:space="0" w:color="EFF6FA" w:themeColor="accent6"/>
          <w:insideV w:val="single" w:sz="8" w:space="0" w:color="EFF6FA" w:themeColor="accent6"/>
        </w:tcBorders>
        <w:shd w:val="clear" w:color="auto" w:fill="FAFCFD" w:themeFill="accent6" w:themeFillTint="3F"/>
      </w:tcPr>
    </w:tblStylePr>
    <w:tblStylePr w:type="band2Horz">
      <w:tblPr/>
      <w:tcPr>
        <w:tcBorders>
          <w:top w:val="single" w:sz="8" w:space="0" w:color="EFF6FA" w:themeColor="accent6"/>
          <w:left w:val="single" w:sz="8" w:space="0" w:color="EFF6FA" w:themeColor="accent6"/>
          <w:bottom w:val="single" w:sz="8" w:space="0" w:color="EFF6FA" w:themeColor="accent6"/>
          <w:right w:val="single" w:sz="8" w:space="0" w:color="EFF6FA" w:themeColor="accent6"/>
          <w:insideV w:val="single" w:sz="8" w:space="0" w:color="EFF6FA" w:themeColor="accent6"/>
        </w:tcBorders>
      </w:tcPr>
    </w:tblStylePr>
  </w:style>
  <w:style w:type="table" w:styleId="LightList">
    <w:name w:val="Light List"/>
    <w:basedOn w:val="TableNormal"/>
    <w:uiPriority w:val="61"/>
    <w:semiHidden/>
    <w:rsid w:val="00B918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B91810"/>
    <w:pPr>
      <w:spacing w:after="0" w:line="240" w:lineRule="auto"/>
    </w:pPr>
    <w:tblPr>
      <w:tblStyleRowBandSize w:val="1"/>
      <w:tblStyleColBandSize w:val="1"/>
      <w:tblBorders>
        <w:top w:val="single" w:sz="8" w:space="0" w:color="86B3CB" w:themeColor="accent1"/>
        <w:left w:val="single" w:sz="8" w:space="0" w:color="86B3CB" w:themeColor="accent1"/>
        <w:bottom w:val="single" w:sz="8" w:space="0" w:color="86B3CB" w:themeColor="accent1"/>
        <w:right w:val="single" w:sz="8" w:space="0" w:color="86B3CB" w:themeColor="accent1"/>
      </w:tblBorders>
    </w:tblPr>
    <w:tblStylePr w:type="firstRow">
      <w:pPr>
        <w:spacing w:before="0" w:after="0" w:line="240" w:lineRule="auto"/>
      </w:pPr>
      <w:rPr>
        <w:b/>
        <w:bCs/>
        <w:color w:val="FFFFFF" w:themeColor="background1"/>
      </w:rPr>
      <w:tblPr/>
      <w:tcPr>
        <w:shd w:val="clear" w:color="auto" w:fill="86B3CB" w:themeFill="accent1"/>
      </w:tcPr>
    </w:tblStylePr>
    <w:tblStylePr w:type="lastRow">
      <w:pPr>
        <w:spacing w:before="0" w:after="0" w:line="240" w:lineRule="auto"/>
      </w:pPr>
      <w:rPr>
        <w:b/>
        <w:bCs/>
      </w:rPr>
      <w:tblPr/>
      <w:tcPr>
        <w:tcBorders>
          <w:top w:val="double" w:sz="6" w:space="0" w:color="86B3CB" w:themeColor="accent1"/>
          <w:left w:val="single" w:sz="8" w:space="0" w:color="86B3CB" w:themeColor="accent1"/>
          <w:bottom w:val="single" w:sz="8" w:space="0" w:color="86B3CB" w:themeColor="accent1"/>
          <w:right w:val="single" w:sz="8" w:space="0" w:color="86B3CB" w:themeColor="accent1"/>
        </w:tcBorders>
      </w:tcPr>
    </w:tblStylePr>
    <w:tblStylePr w:type="firstCol">
      <w:rPr>
        <w:b/>
        <w:bCs/>
      </w:rPr>
    </w:tblStylePr>
    <w:tblStylePr w:type="lastCol">
      <w:rPr>
        <w:b/>
        <w:bCs/>
      </w:rPr>
    </w:tblStylePr>
    <w:tblStylePr w:type="band1Vert">
      <w:tblPr/>
      <w:tcPr>
        <w:tcBorders>
          <w:top w:val="single" w:sz="8" w:space="0" w:color="86B3CB" w:themeColor="accent1"/>
          <w:left w:val="single" w:sz="8" w:space="0" w:color="86B3CB" w:themeColor="accent1"/>
          <w:bottom w:val="single" w:sz="8" w:space="0" w:color="86B3CB" w:themeColor="accent1"/>
          <w:right w:val="single" w:sz="8" w:space="0" w:color="86B3CB" w:themeColor="accent1"/>
        </w:tcBorders>
      </w:tcPr>
    </w:tblStylePr>
    <w:tblStylePr w:type="band1Horz">
      <w:tblPr/>
      <w:tcPr>
        <w:tcBorders>
          <w:top w:val="single" w:sz="8" w:space="0" w:color="86B3CB" w:themeColor="accent1"/>
          <w:left w:val="single" w:sz="8" w:space="0" w:color="86B3CB" w:themeColor="accent1"/>
          <w:bottom w:val="single" w:sz="8" w:space="0" w:color="86B3CB" w:themeColor="accent1"/>
          <w:right w:val="single" w:sz="8" w:space="0" w:color="86B3CB" w:themeColor="accent1"/>
        </w:tcBorders>
      </w:tcPr>
    </w:tblStylePr>
  </w:style>
  <w:style w:type="table" w:styleId="LightList-Accent2">
    <w:name w:val="Light List Accent 2"/>
    <w:basedOn w:val="TableNormal"/>
    <w:uiPriority w:val="61"/>
    <w:semiHidden/>
    <w:rsid w:val="00B91810"/>
    <w:pPr>
      <w:spacing w:after="0" w:line="240" w:lineRule="auto"/>
    </w:pPr>
    <w:tblPr>
      <w:tblStyleRowBandSize w:val="1"/>
      <w:tblStyleColBandSize w:val="1"/>
      <w:tblBorders>
        <w:top w:val="single" w:sz="8" w:space="0" w:color="926899" w:themeColor="accent2"/>
        <w:left w:val="single" w:sz="8" w:space="0" w:color="926899" w:themeColor="accent2"/>
        <w:bottom w:val="single" w:sz="8" w:space="0" w:color="926899" w:themeColor="accent2"/>
        <w:right w:val="single" w:sz="8" w:space="0" w:color="926899" w:themeColor="accent2"/>
      </w:tblBorders>
    </w:tblPr>
    <w:tblStylePr w:type="firstRow">
      <w:pPr>
        <w:spacing w:before="0" w:after="0" w:line="240" w:lineRule="auto"/>
      </w:pPr>
      <w:rPr>
        <w:b/>
        <w:bCs/>
        <w:color w:val="FFFFFF" w:themeColor="background1"/>
      </w:rPr>
      <w:tblPr/>
      <w:tcPr>
        <w:shd w:val="clear" w:color="auto" w:fill="926899" w:themeFill="accent2"/>
      </w:tcPr>
    </w:tblStylePr>
    <w:tblStylePr w:type="lastRow">
      <w:pPr>
        <w:spacing w:before="0" w:after="0" w:line="240" w:lineRule="auto"/>
      </w:pPr>
      <w:rPr>
        <w:b/>
        <w:bCs/>
      </w:rPr>
      <w:tblPr/>
      <w:tcPr>
        <w:tcBorders>
          <w:top w:val="double" w:sz="6" w:space="0" w:color="926899" w:themeColor="accent2"/>
          <w:left w:val="single" w:sz="8" w:space="0" w:color="926899" w:themeColor="accent2"/>
          <w:bottom w:val="single" w:sz="8" w:space="0" w:color="926899" w:themeColor="accent2"/>
          <w:right w:val="single" w:sz="8" w:space="0" w:color="926899" w:themeColor="accent2"/>
        </w:tcBorders>
      </w:tcPr>
    </w:tblStylePr>
    <w:tblStylePr w:type="firstCol">
      <w:rPr>
        <w:b/>
        <w:bCs/>
      </w:rPr>
    </w:tblStylePr>
    <w:tblStylePr w:type="lastCol">
      <w:rPr>
        <w:b/>
        <w:bCs/>
      </w:rPr>
    </w:tblStylePr>
    <w:tblStylePr w:type="band1Vert">
      <w:tblPr/>
      <w:tcPr>
        <w:tcBorders>
          <w:top w:val="single" w:sz="8" w:space="0" w:color="926899" w:themeColor="accent2"/>
          <w:left w:val="single" w:sz="8" w:space="0" w:color="926899" w:themeColor="accent2"/>
          <w:bottom w:val="single" w:sz="8" w:space="0" w:color="926899" w:themeColor="accent2"/>
          <w:right w:val="single" w:sz="8" w:space="0" w:color="926899" w:themeColor="accent2"/>
        </w:tcBorders>
      </w:tcPr>
    </w:tblStylePr>
    <w:tblStylePr w:type="band1Horz">
      <w:tblPr/>
      <w:tcPr>
        <w:tcBorders>
          <w:top w:val="single" w:sz="8" w:space="0" w:color="926899" w:themeColor="accent2"/>
          <w:left w:val="single" w:sz="8" w:space="0" w:color="926899" w:themeColor="accent2"/>
          <w:bottom w:val="single" w:sz="8" w:space="0" w:color="926899" w:themeColor="accent2"/>
          <w:right w:val="single" w:sz="8" w:space="0" w:color="926899" w:themeColor="accent2"/>
        </w:tcBorders>
      </w:tcPr>
    </w:tblStylePr>
  </w:style>
  <w:style w:type="table" w:styleId="LightList-Accent3">
    <w:name w:val="Light List Accent 3"/>
    <w:basedOn w:val="TableNormal"/>
    <w:uiPriority w:val="61"/>
    <w:semiHidden/>
    <w:rsid w:val="00B91810"/>
    <w:pPr>
      <w:spacing w:after="0" w:line="240" w:lineRule="auto"/>
    </w:pPr>
    <w:tblPr>
      <w:tblStyleRowBandSize w:val="1"/>
      <w:tblStyleColBandSize w:val="1"/>
      <w:tblBorders>
        <w:top w:val="single" w:sz="8" w:space="0" w:color="7DC574" w:themeColor="accent3"/>
        <w:left w:val="single" w:sz="8" w:space="0" w:color="7DC574" w:themeColor="accent3"/>
        <w:bottom w:val="single" w:sz="8" w:space="0" w:color="7DC574" w:themeColor="accent3"/>
        <w:right w:val="single" w:sz="8" w:space="0" w:color="7DC574" w:themeColor="accent3"/>
      </w:tblBorders>
    </w:tblPr>
    <w:tblStylePr w:type="firstRow">
      <w:pPr>
        <w:spacing w:before="0" w:after="0" w:line="240" w:lineRule="auto"/>
      </w:pPr>
      <w:rPr>
        <w:b/>
        <w:bCs/>
        <w:color w:val="FFFFFF" w:themeColor="background1"/>
      </w:rPr>
      <w:tblPr/>
      <w:tcPr>
        <w:shd w:val="clear" w:color="auto" w:fill="7DC574" w:themeFill="accent3"/>
      </w:tcPr>
    </w:tblStylePr>
    <w:tblStylePr w:type="lastRow">
      <w:pPr>
        <w:spacing w:before="0" w:after="0" w:line="240" w:lineRule="auto"/>
      </w:pPr>
      <w:rPr>
        <w:b/>
        <w:bCs/>
      </w:rPr>
      <w:tblPr/>
      <w:tcPr>
        <w:tcBorders>
          <w:top w:val="double" w:sz="6" w:space="0" w:color="7DC574" w:themeColor="accent3"/>
          <w:left w:val="single" w:sz="8" w:space="0" w:color="7DC574" w:themeColor="accent3"/>
          <w:bottom w:val="single" w:sz="8" w:space="0" w:color="7DC574" w:themeColor="accent3"/>
          <w:right w:val="single" w:sz="8" w:space="0" w:color="7DC574" w:themeColor="accent3"/>
        </w:tcBorders>
      </w:tcPr>
    </w:tblStylePr>
    <w:tblStylePr w:type="firstCol">
      <w:rPr>
        <w:b/>
        <w:bCs/>
      </w:rPr>
    </w:tblStylePr>
    <w:tblStylePr w:type="lastCol">
      <w:rPr>
        <w:b/>
        <w:bCs/>
      </w:rPr>
    </w:tblStylePr>
    <w:tblStylePr w:type="band1Vert">
      <w:tblPr/>
      <w:tcPr>
        <w:tcBorders>
          <w:top w:val="single" w:sz="8" w:space="0" w:color="7DC574" w:themeColor="accent3"/>
          <w:left w:val="single" w:sz="8" w:space="0" w:color="7DC574" w:themeColor="accent3"/>
          <w:bottom w:val="single" w:sz="8" w:space="0" w:color="7DC574" w:themeColor="accent3"/>
          <w:right w:val="single" w:sz="8" w:space="0" w:color="7DC574" w:themeColor="accent3"/>
        </w:tcBorders>
      </w:tcPr>
    </w:tblStylePr>
    <w:tblStylePr w:type="band1Horz">
      <w:tblPr/>
      <w:tcPr>
        <w:tcBorders>
          <w:top w:val="single" w:sz="8" w:space="0" w:color="7DC574" w:themeColor="accent3"/>
          <w:left w:val="single" w:sz="8" w:space="0" w:color="7DC574" w:themeColor="accent3"/>
          <w:bottom w:val="single" w:sz="8" w:space="0" w:color="7DC574" w:themeColor="accent3"/>
          <w:right w:val="single" w:sz="8" w:space="0" w:color="7DC574" w:themeColor="accent3"/>
        </w:tcBorders>
      </w:tcPr>
    </w:tblStylePr>
  </w:style>
  <w:style w:type="table" w:styleId="LightList-Accent4">
    <w:name w:val="Light List Accent 4"/>
    <w:basedOn w:val="TableNormal"/>
    <w:uiPriority w:val="61"/>
    <w:semiHidden/>
    <w:rsid w:val="00B91810"/>
    <w:pPr>
      <w:spacing w:after="0" w:line="240" w:lineRule="auto"/>
    </w:pPr>
    <w:tblPr>
      <w:tblStyleRowBandSize w:val="1"/>
      <w:tblStyleColBandSize w:val="1"/>
      <w:tblBorders>
        <w:top w:val="single" w:sz="8" w:space="0" w:color="F8982D" w:themeColor="accent4"/>
        <w:left w:val="single" w:sz="8" w:space="0" w:color="F8982D" w:themeColor="accent4"/>
        <w:bottom w:val="single" w:sz="8" w:space="0" w:color="F8982D" w:themeColor="accent4"/>
        <w:right w:val="single" w:sz="8" w:space="0" w:color="F8982D" w:themeColor="accent4"/>
      </w:tblBorders>
    </w:tblPr>
    <w:tblStylePr w:type="firstRow">
      <w:pPr>
        <w:spacing w:before="0" w:after="0" w:line="240" w:lineRule="auto"/>
      </w:pPr>
      <w:rPr>
        <w:b/>
        <w:bCs/>
        <w:color w:val="FFFFFF" w:themeColor="background1"/>
      </w:rPr>
      <w:tblPr/>
      <w:tcPr>
        <w:shd w:val="clear" w:color="auto" w:fill="F8982D" w:themeFill="accent4"/>
      </w:tcPr>
    </w:tblStylePr>
    <w:tblStylePr w:type="lastRow">
      <w:pPr>
        <w:spacing w:before="0" w:after="0" w:line="240" w:lineRule="auto"/>
      </w:pPr>
      <w:rPr>
        <w:b/>
        <w:bCs/>
      </w:rPr>
      <w:tblPr/>
      <w:tcPr>
        <w:tcBorders>
          <w:top w:val="double" w:sz="6" w:space="0" w:color="F8982D" w:themeColor="accent4"/>
          <w:left w:val="single" w:sz="8" w:space="0" w:color="F8982D" w:themeColor="accent4"/>
          <w:bottom w:val="single" w:sz="8" w:space="0" w:color="F8982D" w:themeColor="accent4"/>
          <w:right w:val="single" w:sz="8" w:space="0" w:color="F8982D" w:themeColor="accent4"/>
        </w:tcBorders>
      </w:tcPr>
    </w:tblStylePr>
    <w:tblStylePr w:type="firstCol">
      <w:rPr>
        <w:b/>
        <w:bCs/>
      </w:rPr>
    </w:tblStylePr>
    <w:tblStylePr w:type="lastCol">
      <w:rPr>
        <w:b/>
        <w:bCs/>
      </w:rPr>
    </w:tblStylePr>
    <w:tblStylePr w:type="band1Vert">
      <w:tblPr/>
      <w:tcPr>
        <w:tcBorders>
          <w:top w:val="single" w:sz="8" w:space="0" w:color="F8982D" w:themeColor="accent4"/>
          <w:left w:val="single" w:sz="8" w:space="0" w:color="F8982D" w:themeColor="accent4"/>
          <w:bottom w:val="single" w:sz="8" w:space="0" w:color="F8982D" w:themeColor="accent4"/>
          <w:right w:val="single" w:sz="8" w:space="0" w:color="F8982D" w:themeColor="accent4"/>
        </w:tcBorders>
      </w:tcPr>
    </w:tblStylePr>
    <w:tblStylePr w:type="band1Horz">
      <w:tblPr/>
      <w:tcPr>
        <w:tcBorders>
          <w:top w:val="single" w:sz="8" w:space="0" w:color="F8982D" w:themeColor="accent4"/>
          <w:left w:val="single" w:sz="8" w:space="0" w:color="F8982D" w:themeColor="accent4"/>
          <w:bottom w:val="single" w:sz="8" w:space="0" w:color="F8982D" w:themeColor="accent4"/>
          <w:right w:val="single" w:sz="8" w:space="0" w:color="F8982D" w:themeColor="accent4"/>
        </w:tcBorders>
      </w:tcPr>
    </w:tblStylePr>
  </w:style>
  <w:style w:type="table" w:styleId="LightList-Accent5">
    <w:name w:val="Light List Accent 5"/>
    <w:basedOn w:val="TableNormal"/>
    <w:uiPriority w:val="61"/>
    <w:semiHidden/>
    <w:rsid w:val="00B91810"/>
    <w:pPr>
      <w:spacing w:after="0" w:line="240" w:lineRule="auto"/>
    </w:pPr>
    <w:tblPr>
      <w:tblStyleRowBandSize w:val="1"/>
      <w:tblStyleColBandSize w:val="1"/>
      <w:tblBorders>
        <w:top w:val="single" w:sz="8" w:space="0" w:color="369A98" w:themeColor="accent5"/>
        <w:left w:val="single" w:sz="8" w:space="0" w:color="369A98" w:themeColor="accent5"/>
        <w:bottom w:val="single" w:sz="8" w:space="0" w:color="369A98" w:themeColor="accent5"/>
        <w:right w:val="single" w:sz="8" w:space="0" w:color="369A98" w:themeColor="accent5"/>
      </w:tblBorders>
    </w:tblPr>
    <w:tblStylePr w:type="firstRow">
      <w:pPr>
        <w:spacing w:before="0" w:after="0" w:line="240" w:lineRule="auto"/>
      </w:pPr>
      <w:rPr>
        <w:b/>
        <w:bCs/>
        <w:color w:val="FFFFFF" w:themeColor="background1"/>
      </w:rPr>
      <w:tblPr/>
      <w:tcPr>
        <w:shd w:val="clear" w:color="auto" w:fill="369A98" w:themeFill="accent5"/>
      </w:tcPr>
    </w:tblStylePr>
    <w:tblStylePr w:type="lastRow">
      <w:pPr>
        <w:spacing w:before="0" w:after="0" w:line="240" w:lineRule="auto"/>
      </w:pPr>
      <w:rPr>
        <w:b/>
        <w:bCs/>
      </w:rPr>
      <w:tblPr/>
      <w:tcPr>
        <w:tcBorders>
          <w:top w:val="double" w:sz="6" w:space="0" w:color="369A98" w:themeColor="accent5"/>
          <w:left w:val="single" w:sz="8" w:space="0" w:color="369A98" w:themeColor="accent5"/>
          <w:bottom w:val="single" w:sz="8" w:space="0" w:color="369A98" w:themeColor="accent5"/>
          <w:right w:val="single" w:sz="8" w:space="0" w:color="369A98" w:themeColor="accent5"/>
        </w:tcBorders>
      </w:tcPr>
    </w:tblStylePr>
    <w:tblStylePr w:type="firstCol">
      <w:rPr>
        <w:b/>
        <w:bCs/>
      </w:rPr>
    </w:tblStylePr>
    <w:tblStylePr w:type="lastCol">
      <w:rPr>
        <w:b/>
        <w:bCs/>
      </w:rPr>
    </w:tblStylePr>
    <w:tblStylePr w:type="band1Vert">
      <w:tblPr/>
      <w:tcPr>
        <w:tcBorders>
          <w:top w:val="single" w:sz="8" w:space="0" w:color="369A98" w:themeColor="accent5"/>
          <w:left w:val="single" w:sz="8" w:space="0" w:color="369A98" w:themeColor="accent5"/>
          <w:bottom w:val="single" w:sz="8" w:space="0" w:color="369A98" w:themeColor="accent5"/>
          <w:right w:val="single" w:sz="8" w:space="0" w:color="369A98" w:themeColor="accent5"/>
        </w:tcBorders>
      </w:tcPr>
    </w:tblStylePr>
    <w:tblStylePr w:type="band1Horz">
      <w:tblPr/>
      <w:tcPr>
        <w:tcBorders>
          <w:top w:val="single" w:sz="8" w:space="0" w:color="369A98" w:themeColor="accent5"/>
          <w:left w:val="single" w:sz="8" w:space="0" w:color="369A98" w:themeColor="accent5"/>
          <w:bottom w:val="single" w:sz="8" w:space="0" w:color="369A98" w:themeColor="accent5"/>
          <w:right w:val="single" w:sz="8" w:space="0" w:color="369A98" w:themeColor="accent5"/>
        </w:tcBorders>
      </w:tcPr>
    </w:tblStylePr>
  </w:style>
  <w:style w:type="table" w:styleId="LightList-Accent6">
    <w:name w:val="Light List Accent 6"/>
    <w:basedOn w:val="TableNormal"/>
    <w:uiPriority w:val="61"/>
    <w:semiHidden/>
    <w:rsid w:val="00B91810"/>
    <w:pPr>
      <w:spacing w:after="0" w:line="240" w:lineRule="auto"/>
    </w:pPr>
    <w:tblPr>
      <w:tblStyleRowBandSize w:val="1"/>
      <w:tblStyleColBandSize w:val="1"/>
      <w:tblBorders>
        <w:top w:val="single" w:sz="8" w:space="0" w:color="EFF6FA" w:themeColor="accent6"/>
        <w:left w:val="single" w:sz="8" w:space="0" w:color="EFF6FA" w:themeColor="accent6"/>
        <w:bottom w:val="single" w:sz="8" w:space="0" w:color="EFF6FA" w:themeColor="accent6"/>
        <w:right w:val="single" w:sz="8" w:space="0" w:color="EFF6FA" w:themeColor="accent6"/>
      </w:tblBorders>
    </w:tblPr>
    <w:tblStylePr w:type="firstRow">
      <w:pPr>
        <w:spacing w:before="0" w:after="0" w:line="240" w:lineRule="auto"/>
      </w:pPr>
      <w:rPr>
        <w:b/>
        <w:bCs/>
        <w:color w:val="FFFFFF" w:themeColor="background1"/>
      </w:rPr>
      <w:tblPr/>
      <w:tcPr>
        <w:shd w:val="clear" w:color="auto" w:fill="EFF6FA" w:themeFill="accent6"/>
      </w:tcPr>
    </w:tblStylePr>
    <w:tblStylePr w:type="lastRow">
      <w:pPr>
        <w:spacing w:before="0" w:after="0" w:line="240" w:lineRule="auto"/>
      </w:pPr>
      <w:rPr>
        <w:b/>
        <w:bCs/>
      </w:rPr>
      <w:tblPr/>
      <w:tcPr>
        <w:tcBorders>
          <w:top w:val="double" w:sz="6" w:space="0" w:color="EFF6FA" w:themeColor="accent6"/>
          <w:left w:val="single" w:sz="8" w:space="0" w:color="EFF6FA" w:themeColor="accent6"/>
          <w:bottom w:val="single" w:sz="8" w:space="0" w:color="EFF6FA" w:themeColor="accent6"/>
          <w:right w:val="single" w:sz="8" w:space="0" w:color="EFF6FA" w:themeColor="accent6"/>
        </w:tcBorders>
      </w:tcPr>
    </w:tblStylePr>
    <w:tblStylePr w:type="firstCol">
      <w:rPr>
        <w:b/>
        <w:bCs/>
      </w:rPr>
    </w:tblStylePr>
    <w:tblStylePr w:type="lastCol">
      <w:rPr>
        <w:b/>
        <w:bCs/>
      </w:rPr>
    </w:tblStylePr>
    <w:tblStylePr w:type="band1Vert">
      <w:tblPr/>
      <w:tcPr>
        <w:tcBorders>
          <w:top w:val="single" w:sz="8" w:space="0" w:color="EFF6FA" w:themeColor="accent6"/>
          <w:left w:val="single" w:sz="8" w:space="0" w:color="EFF6FA" w:themeColor="accent6"/>
          <w:bottom w:val="single" w:sz="8" w:space="0" w:color="EFF6FA" w:themeColor="accent6"/>
          <w:right w:val="single" w:sz="8" w:space="0" w:color="EFF6FA" w:themeColor="accent6"/>
        </w:tcBorders>
      </w:tcPr>
    </w:tblStylePr>
    <w:tblStylePr w:type="band1Horz">
      <w:tblPr/>
      <w:tcPr>
        <w:tcBorders>
          <w:top w:val="single" w:sz="8" w:space="0" w:color="EFF6FA" w:themeColor="accent6"/>
          <w:left w:val="single" w:sz="8" w:space="0" w:color="EFF6FA" w:themeColor="accent6"/>
          <w:bottom w:val="single" w:sz="8" w:space="0" w:color="EFF6FA" w:themeColor="accent6"/>
          <w:right w:val="single" w:sz="8" w:space="0" w:color="EFF6FA" w:themeColor="accent6"/>
        </w:tcBorders>
      </w:tcPr>
    </w:tblStylePr>
  </w:style>
  <w:style w:type="table" w:styleId="LightShading">
    <w:name w:val="Light Shading"/>
    <w:basedOn w:val="TableNormal"/>
    <w:uiPriority w:val="60"/>
    <w:semiHidden/>
    <w:rsid w:val="00B9181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B91810"/>
    <w:pPr>
      <w:spacing w:after="0" w:line="240" w:lineRule="auto"/>
    </w:pPr>
    <w:rPr>
      <w:color w:val="4C8DB0" w:themeColor="accent1" w:themeShade="BF"/>
    </w:rPr>
    <w:tblPr>
      <w:tblStyleRowBandSize w:val="1"/>
      <w:tblStyleColBandSize w:val="1"/>
      <w:tblBorders>
        <w:top w:val="single" w:sz="8" w:space="0" w:color="86B3CB" w:themeColor="accent1"/>
        <w:bottom w:val="single" w:sz="8" w:space="0" w:color="86B3CB" w:themeColor="accent1"/>
      </w:tblBorders>
    </w:tblPr>
    <w:tblStylePr w:type="firstRow">
      <w:pPr>
        <w:spacing w:before="0" w:after="0" w:line="240" w:lineRule="auto"/>
      </w:pPr>
      <w:rPr>
        <w:b/>
        <w:bCs/>
      </w:rPr>
      <w:tblPr/>
      <w:tcPr>
        <w:tcBorders>
          <w:top w:val="single" w:sz="8" w:space="0" w:color="86B3CB" w:themeColor="accent1"/>
          <w:left w:val="nil"/>
          <w:bottom w:val="single" w:sz="8" w:space="0" w:color="86B3CB" w:themeColor="accent1"/>
          <w:right w:val="nil"/>
          <w:insideH w:val="nil"/>
          <w:insideV w:val="nil"/>
        </w:tcBorders>
      </w:tcPr>
    </w:tblStylePr>
    <w:tblStylePr w:type="lastRow">
      <w:pPr>
        <w:spacing w:before="0" w:after="0" w:line="240" w:lineRule="auto"/>
      </w:pPr>
      <w:rPr>
        <w:b/>
        <w:bCs/>
      </w:rPr>
      <w:tblPr/>
      <w:tcPr>
        <w:tcBorders>
          <w:top w:val="single" w:sz="8" w:space="0" w:color="86B3CB" w:themeColor="accent1"/>
          <w:left w:val="nil"/>
          <w:bottom w:val="single" w:sz="8" w:space="0" w:color="86B3C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CF2" w:themeFill="accent1" w:themeFillTint="3F"/>
      </w:tcPr>
    </w:tblStylePr>
    <w:tblStylePr w:type="band1Horz">
      <w:tblPr/>
      <w:tcPr>
        <w:tcBorders>
          <w:left w:val="nil"/>
          <w:right w:val="nil"/>
          <w:insideH w:val="nil"/>
          <w:insideV w:val="nil"/>
        </w:tcBorders>
        <w:shd w:val="clear" w:color="auto" w:fill="E0ECF2" w:themeFill="accent1" w:themeFillTint="3F"/>
      </w:tcPr>
    </w:tblStylePr>
  </w:style>
  <w:style w:type="table" w:styleId="LightShading-Accent2">
    <w:name w:val="Light Shading Accent 2"/>
    <w:basedOn w:val="TableNormal"/>
    <w:uiPriority w:val="60"/>
    <w:semiHidden/>
    <w:rsid w:val="00B91810"/>
    <w:pPr>
      <w:spacing w:after="0" w:line="240" w:lineRule="auto"/>
    </w:pPr>
    <w:rPr>
      <w:color w:val="6D4D72" w:themeColor="accent2" w:themeShade="BF"/>
    </w:rPr>
    <w:tblPr>
      <w:tblStyleRowBandSize w:val="1"/>
      <w:tblStyleColBandSize w:val="1"/>
      <w:tblBorders>
        <w:top w:val="single" w:sz="8" w:space="0" w:color="926899" w:themeColor="accent2"/>
        <w:bottom w:val="single" w:sz="8" w:space="0" w:color="926899" w:themeColor="accent2"/>
      </w:tblBorders>
    </w:tblPr>
    <w:tblStylePr w:type="firstRow">
      <w:pPr>
        <w:spacing w:before="0" w:after="0" w:line="240" w:lineRule="auto"/>
      </w:pPr>
      <w:rPr>
        <w:b/>
        <w:bCs/>
      </w:rPr>
      <w:tblPr/>
      <w:tcPr>
        <w:tcBorders>
          <w:top w:val="single" w:sz="8" w:space="0" w:color="926899" w:themeColor="accent2"/>
          <w:left w:val="nil"/>
          <w:bottom w:val="single" w:sz="8" w:space="0" w:color="926899" w:themeColor="accent2"/>
          <w:right w:val="nil"/>
          <w:insideH w:val="nil"/>
          <w:insideV w:val="nil"/>
        </w:tcBorders>
      </w:tcPr>
    </w:tblStylePr>
    <w:tblStylePr w:type="lastRow">
      <w:pPr>
        <w:spacing w:before="0" w:after="0" w:line="240" w:lineRule="auto"/>
      </w:pPr>
      <w:rPr>
        <w:b/>
        <w:bCs/>
      </w:rPr>
      <w:tblPr/>
      <w:tcPr>
        <w:tcBorders>
          <w:top w:val="single" w:sz="8" w:space="0" w:color="926899" w:themeColor="accent2"/>
          <w:left w:val="nil"/>
          <w:bottom w:val="single" w:sz="8" w:space="0" w:color="9268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9E5" w:themeFill="accent2" w:themeFillTint="3F"/>
      </w:tcPr>
    </w:tblStylePr>
    <w:tblStylePr w:type="band1Horz">
      <w:tblPr/>
      <w:tcPr>
        <w:tcBorders>
          <w:left w:val="nil"/>
          <w:right w:val="nil"/>
          <w:insideH w:val="nil"/>
          <w:insideV w:val="nil"/>
        </w:tcBorders>
        <w:shd w:val="clear" w:color="auto" w:fill="E4D9E5" w:themeFill="accent2" w:themeFillTint="3F"/>
      </w:tcPr>
    </w:tblStylePr>
  </w:style>
  <w:style w:type="table" w:styleId="LightShading-Accent3">
    <w:name w:val="Light Shading Accent 3"/>
    <w:basedOn w:val="TableNormal"/>
    <w:uiPriority w:val="60"/>
    <w:semiHidden/>
    <w:rsid w:val="00B91810"/>
    <w:pPr>
      <w:spacing w:after="0" w:line="240" w:lineRule="auto"/>
    </w:pPr>
    <w:rPr>
      <w:color w:val="4FA545" w:themeColor="accent3" w:themeShade="BF"/>
    </w:rPr>
    <w:tblPr>
      <w:tblStyleRowBandSize w:val="1"/>
      <w:tblStyleColBandSize w:val="1"/>
      <w:tblBorders>
        <w:top w:val="single" w:sz="8" w:space="0" w:color="7DC574" w:themeColor="accent3"/>
        <w:bottom w:val="single" w:sz="8" w:space="0" w:color="7DC574" w:themeColor="accent3"/>
      </w:tblBorders>
    </w:tblPr>
    <w:tblStylePr w:type="firstRow">
      <w:pPr>
        <w:spacing w:before="0" w:after="0" w:line="240" w:lineRule="auto"/>
      </w:pPr>
      <w:rPr>
        <w:b/>
        <w:bCs/>
      </w:rPr>
      <w:tblPr/>
      <w:tcPr>
        <w:tcBorders>
          <w:top w:val="single" w:sz="8" w:space="0" w:color="7DC574" w:themeColor="accent3"/>
          <w:left w:val="nil"/>
          <w:bottom w:val="single" w:sz="8" w:space="0" w:color="7DC574" w:themeColor="accent3"/>
          <w:right w:val="nil"/>
          <w:insideH w:val="nil"/>
          <w:insideV w:val="nil"/>
        </w:tcBorders>
      </w:tcPr>
    </w:tblStylePr>
    <w:tblStylePr w:type="lastRow">
      <w:pPr>
        <w:spacing w:before="0" w:after="0" w:line="240" w:lineRule="auto"/>
      </w:pPr>
      <w:rPr>
        <w:b/>
        <w:bCs/>
      </w:rPr>
      <w:tblPr/>
      <w:tcPr>
        <w:tcBorders>
          <w:top w:val="single" w:sz="8" w:space="0" w:color="7DC574" w:themeColor="accent3"/>
          <w:left w:val="nil"/>
          <w:bottom w:val="single" w:sz="8" w:space="0" w:color="7DC57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0DC" w:themeFill="accent3" w:themeFillTint="3F"/>
      </w:tcPr>
    </w:tblStylePr>
    <w:tblStylePr w:type="band1Horz">
      <w:tblPr/>
      <w:tcPr>
        <w:tcBorders>
          <w:left w:val="nil"/>
          <w:right w:val="nil"/>
          <w:insideH w:val="nil"/>
          <w:insideV w:val="nil"/>
        </w:tcBorders>
        <w:shd w:val="clear" w:color="auto" w:fill="DEF0DC" w:themeFill="accent3" w:themeFillTint="3F"/>
      </w:tcPr>
    </w:tblStylePr>
  </w:style>
  <w:style w:type="table" w:styleId="LightShading-Accent4">
    <w:name w:val="Light Shading Accent 4"/>
    <w:basedOn w:val="TableNormal"/>
    <w:uiPriority w:val="60"/>
    <w:semiHidden/>
    <w:rsid w:val="00B91810"/>
    <w:pPr>
      <w:spacing w:after="0" w:line="240" w:lineRule="auto"/>
    </w:pPr>
    <w:rPr>
      <w:color w:val="D47207" w:themeColor="accent4" w:themeShade="BF"/>
    </w:rPr>
    <w:tblPr>
      <w:tblStyleRowBandSize w:val="1"/>
      <w:tblStyleColBandSize w:val="1"/>
      <w:tblBorders>
        <w:top w:val="single" w:sz="8" w:space="0" w:color="F8982D" w:themeColor="accent4"/>
        <w:bottom w:val="single" w:sz="8" w:space="0" w:color="F8982D" w:themeColor="accent4"/>
      </w:tblBorders>
    </w:tblPr>
    <w:tblStylePr w:type="firstRow">
      <w:pPr>
        <w:spacing w:before="0" w:after="0" w:line="240" w:lineRule="auto"/>
      </w:pPr>
      <w:rPr>
        <w:b/>
        <w:bCs/>
      </w:rPr>
      <w:tblPr/>
      <w:tcPr>
        <w:tcBorders>
          <w:top w:val="single" w:sz="8" w:space="0" w:color="F8982D" w:themeColor="accent4"/>
          <w:left w:val="nil"/>
          <w:bottom w:val="single" w:sz="8" w:space="0" w:color="F8982D" w:themeColor="accent4"/>
          <w:right w:val="nil"/>
          <w:insideH w:val="nil"/>
          <w:insideV w:val="nil"/>
        </w:tcBorders>
      </w:tcPr>
    </w:tblStylePr>
    <w:tblStylePr w:type="lastRow">
      <w:pPr>
        <w:spacing w:before="0" w:after="0" w:line="240" w:lineRule="auto"/>
      </w:pPr>
      <w:rPr>
        <w:b/>
        <w:bCs/>
      </w:rPr>
      <w:tblPr/>
      <w:tcPr>
        <w:tcBorders>
          <w:top w:val="single" w:sz="8" w:space="0" w:color="F8982D" w:themeColor="accent4"/>
          <w:left w:val="nil"/>
          <w:bottom w:val="single" w:sz="8" w:space="0" w:color="F8982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B" w:themeFill="accent4" w:themeFillTint="3F"/>
      </w:tcPr>
    </w:tblStylePr>
    <w:tblStylePr w:type="band1Horz">
      <w:tblPr/>
      <w:tcPr>
        <w:tcBorders>
          <w:left w:val="nil"/>
          <w:right w:val="nil"/>
          <w:insideH w:val="nil"/>
          <w:insideV w:val="nil"/>
        </w:tcBorders>
        <w:shd w:val="clear" w:color="auto" w:fill="FDE5CB" w:themeFill="accent4" w:themeFillTint="3F"/>
      </w:tcPr>
    </w:tblStylePr>
  </w:style>
  <w:style w:type="table" w:styleId="LightShading-Accent5">
    <w:name w:val="Light Shading Accent 5"/>
    <w:basedOn w:val="TableNormal"/>
    <w:uiPriority w:val="60"/>
    <w:semiHidden/>
    <w:rsid w:val="00B91810"/>
    <w:pPr>
      <w:spacing w:after="0" w:line="240" w:lineRule="auto"/>
    </w:pPr>
    <w:rPr>
      <w:color w:val="287371" w:themeColor="accent5" w:themeShade="BF"/>
    </w:rPr>
    <w:tblPr>
      <w:tblStyleRowBandSize w:val="1"/>
      <w:tblStyleColBandSize w:val="1"/>
      <w:tblBorders>
        <w:top w:val="single" w:sz="8" w:space="0" w:color="369A98" w:themeColor="accent5"/>
        <w:bottom w:val="single" w:sz="8" w:space="0" w:color="369A98" w:themeColor="accent5"/>
      </w:tblBorders>
    </w:tblPr>
    <w:tblStylePr w:type="firstRow">
      <w:pPr>
        <w:spacing w:before="0" w:after="0" w:line="240" w:lineRule="auto"/>
      </w:pPr>
      <w:rPr>
        <w:b/>
        <w:bCs/>
      </w:rPr>
      <w:tblPr/>
      <w:tcPr>
        <w:tcBorders>
          <w:top w:val="single" w:sz="8" w:space="0" w:color="369A98" w:themeColor="accent5"/>
          <w:left w:val="nil"/>
          <w:bottom w:val="single" w:sz="8" w:space="0" w:color="369A98" w:themeColor="accent5"/>
          <w:right w:val="nil"/>
          <w:insideH w:val="nil"/>
          <w:insideV w:val="nil"/>
        </w:tcBorders>
      </w:tcPr>
    </w:tblStylePr>
    <w:tblStylePr w:type="lastRow">
      <w:pPr>
        <w:spacing w:before="0" w:after="0" w:line="240" w:lineRule="auto"/>
      </w:pPr>
      <w:rPr>
        <w:b/>
        <w:bCs/>
      </w:rPr>
      <w:tblPr/>
      <w:tcPr>
        <w:tcBorders>
          <w:top w:val="single" w:sz="8" w:space="0" w:color="369A98" w:themeColor="accent5"/>
          <w:left w:val="nil"/>
          <w:bottom w:val="single" w:sz="8" w:space="0" w:color="369A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BEA" w:themeFill="accent5" w:themeFillTint="3F"/>
      </w:tcPr>
    </w:tblStylePr>
    <w:tblStylePr w:type="band1Horz">
      <w:tblPr/>
      <w:tcPr>
        <w:tcBorders>
          <w:left w:val="nil"/>
          <w:right w:val="nil"/>
          <w:insideH w:val="nil"/>
          <w:insideV w:val="nil"/>
        </w:tcBorders>
        <w:shd w:val="clear" w:color="auto" w:fill="C7EBEA" w:themeFill="accent5" w:themeFillTint="3F"/>
      </w:tcPr>
    </w:tblStylePr>
  </w:style>
  <w:style w:type="table" w:styleId="LightShading-Accent6">
    <w:name w:val="Light Shading Accent 6"/>
    <w:basedOn w:val="TableNormal"/>
    <w:uiPriority w:val="60"/>
    <w:semiHidden/>
    <w:rsid w:val="00B91810"/>
    <w:pPr>
      <w:spacing w:after="0" w:line="240" w:lineRule="auto"/>
    </w:pPr>
    <w:rPr>
      <w:color w:val="91C1DC" w:themeColor="accent6" w:themeShade="BF"/>
    </w:rPr>
    <w:tblPr>
      <w:tblStyleRowBandSize w:val="1"/>
      <w:tblStyleColBandSize w:val="1"/>
      <w:tblBorders>
        <w:top w:val="single" w:sz="8" w:space="0" w:color="EFF6FA" w:themeColor="accent6"/>
        <w:bottom w:val="single" w:sz="8" w:space="0" w:color="EFF6FA" w:themeColor="accent6"/>
      </w:tblBorders>
    </w:tblPr>
    <w:tblStylePr w:type="firstRow">
      <w:pPr>
        <w:spacing w:before="0" w:after="0" w:line="240" w:lineRule="auto"/>
      </w:pPr>
      <w:rPr>
        <w:b/>
        <w:bCs/>
      </w:rPr>
      <w:tblPr/>
      <w:tcPr>
        <w:tcBorders>
          <w:top w:val="single" w:sz="8" w:space="0" w:color="EFF6FA" w:themeColor="accent6"/>
          <w:left w:val="nil"/>
          <w:bottom w:val="single" w:sz="8" w:space="0" w:color="EFF6FA" w:themeColor="accent6"/>
          <w:right w:val="nil"/>
          <w:insideH w:val="nil"/>
          <w:insideV w:val="nil"/>
        </w:tcBorders>
      </w:tcPr>
    </w:tblStylePr>
    <w:tblStylePr w:type="lastRow">
      <w:pPr>
        <w:spacing w:before="0" w:after="0" w:line="240" w:lineRule="auto"/>
      </w:pPr>
      <w:rPr>
        <w:b/>
        <w:bCs/>
      </w:rPr>
      <w:tblPr/>
      <w:tcPr>
        <w:tcBorders>
          <w:top w:val="single" w:sz="8" w:space="0" w:color="EFF6FA" w:themeColor="accent6"/>
          <w:left w:val="nil"/>
          <w:bottom w:val="single" w:sz="8" w:space="0" w:color="EFF6F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D" w:themeFill="accent6" w:themeFillTint="3F"/>
      </w:tcPr>
    </w:tblStylePr>
    <w:tblStylePr w:type="band1Horz">
      <w:tblPr/>
      <w:tcPr>
        <w:tcBorders>
          <w:left w:val="nil"/>
          <w:right w:val="nil"/>
          <w:insideH w:val="nil"/>
          <w:insideV w:val="nil"/>
        </w:tcBorders>
        <w:shd w:val="clear" w:color="auto" w:fill="FAFCFD" w:themeFill="accent6" w:themeFillTint="3F"/>
      </w:tcPr>
    </w:tblStylePr>
  </w:style>
  <w:style w:type="character" w:styleId="LineNumber">
    <w:name w:val="line number"/>
    <w:basedOn w:val="DefaultParagraphFont"/>
    <w:uiPriority w:val="99"/>
    <w:semiHidden/>
    <w:unhideWhenUsed/>
    <w:rsid w:val="00B91810"/>
    <w:rPr>
      <w:lang w:val="en-GB"/>
    </w:rPr>
  </w:style>
  <w:style w:type="paragraph" w:styleId="List">
    <w:name w:val="List"/>
    <w:basedOn w:val="Normal"/>
    <w:uiPriority w:val="99"/>
    <w:semiHidden/>
    <w:unhideWhenUsed/>
    <w:rsid w:val="00B91810"/>
    <w:pPr>
      <w:ind w:left="283" w:hanging="283"/>
      <w:contextualSpacing/>
    </w:pPr>
  </w:style>
  <w:style w:type="paragraph" w:styleId="List2">
    <w:name w:val="List 2"/>
    <w:basedOn w:val="Normal"/>
    <w:uiPriority w:val="99"/>
    <w:semiHidden/>
    <w:unhideWhenUsed/>
    <w:rsid w:val="00B91810"/>
    <w:pPr>
      <w:ind w:left="566" w:hanging="283"/>
      <w:contextualSpacing/>
    </w:pPr>
  </w:style>
  <w:style w:type="paragraph" w:styleId="List3">
    <w:name w:val="List 3"/>
    <w:basedOn w:val="Normal"/>
    <w:uiPriority w:val="99"/>
    <w:semiHidden/>
    <w:unhideWhenUsed/>
    <w:rsid w:val="00B91810"/>
    <w:pPr>
      <w:ind w:left="849" w:hanging="283"/>
      <w:contextualSpacing/>
    </w:pPr>
  </w:style>
  <w:style w:type="paragraph" w:styleId="List4">
    <w:name w:val="List 4"/>
    <w:basedOn w:val="Normal"/>
    <w:uiPriority w:val="99"/>
    <w:semiHidden/>
    <w:unhideWhenUsed/>
    <w:rsid w:val="00B91810"/>
    <w:pPr>
      <w:ind w:left="1132" w:hanging="283"/>
      <w:contextualSpacing/>
    </w:pPr>
  </w:style>
  <w:style w:type="paragraph" w:styleId="List5">
    <w:name w:val="List 5"/>
    <w:basedOn w:val="Normal"/>
    <w:uiPriority w:val="99"/>
    <w:semiHidden/>
    <w:unhideWhenUsed/>
    <w:rsid w:val="00B91810"/>
    <w:pPr>
      <w:ind w:left="1415" w:hanging="283"/>
      <w:contextualSpacing/>
    </w:pPr>
  </w:style>
  <w:style w:type="paragraph" w:styleId="ListBullet4">
    <w:name w:val="List Bullet 4"/>
    <w:basedOn w:val="Normal"/>
    <w:uiPriority w:val="99"/>
    <w:semiHidden/>
    <w:unhideWhenUsed/>
    <w:rsid w:val="00B91810"/>
    <w:pPr>
      <w:numPr>
        <w:numId w:val="6"/>
      </w:numPr>
      <w:contextualSpacing/>
    </w:pPr>
  </w:style>
  <w:style w:type="paragraph" w:styleId="ListBullet5">
    <w:name w:val="List Bullet 5"/>
    <w:basedOn w:val="Normal"/>
    <w:uiPriority w:val="99"/>
    <w:semiHidden/>
    <w:unhideWhenUsed/>
    <w:rsid w:val="00B91810"/>
    <w:pPr>
      <w:numPr>
        <w:numId w:val="7"/>
      </w:numPr>
      <w:contextualSpacing/>
    </w:pPr>
  </w:style>
  <w:style w:type="paragraph" w:styleId="ListContinue">
    <w:name w:val="List Continue"/>
    <w:basedOn w:val="Normal"/>
    <w:uiPriority w:val="99"/>
    <w:semiHidden/>
    <w:unhideWhenUsed/>
    <w:rsid w:val="00B91810"/>
    <w:pPr>
      <w:ind w:left="283"/>
      <w:contextualSpacing/>
    </w:pPr>
  </w:style>
  <w:style w:type="paragraph" w:styleId="ListContinue2">
    <w:name w:val="List Continue 2"/>
    <w:basedOn w:val="Normal"/>
    <w:uiPriority w:val="99"/>
    <w:semiHidden/>
    <w:unhideWhenUsed/>
    <w:rsid w:val="00B91810"/>
    <w:pPr>
      <w:ind w:left="566"/>
      <w:contextualSpacing/>
    </w:pPr>
  </w:style>
  <w:style w:type="paragraph" w:styleId="ListContinue3">
    <w:name w:val="List Continue 3"/>
    <w:basedOn w:val="Normal"/>
    <w:uiPriority w:val="99"/>
    <w:semiHidden/>
    <w:unhideWhenUsed/>
    <w:rsid w:val="00B91810"/>
    <w:pPr>
      <w:ind w:left="849"/>
      <w:contextualSpacing/>
    </w:pPr>
  </w:style>
  <w:style w:type="paragraph" w:styleId="ListContinue4">
    <w:name w:val="List Continue 4"/>
    <w:basedOn w:val="Normal"/>
    <w:uiPriority w:val="99"/>
    <w:semiHidden/>
    <w:unhideWhenUsed/>
    <w:rsid w:val="00B91810"/>
    <w:pPr>
      <w:ind w:left="1132"/>
      <w:contextualSpacing/>
    </w:pPr>
  </w:style>
  <w:style w:type="paragraph" w:styleId="ListContinue5">
    <w:name w:val="List Continue 5"/>
    <w:basedOn w:val="Normal"/>
    <w:uiPriority w:val="99"/>
    <w:semiHidden/>
    <w:unhideWhenUsed/>
    <w:rsid w:val="00B91810"/>
    <w:pPr>
      <w:ind w:left="1415"/>
      <w:contextualSpacing/>
    </w:pPr>
  </w:style>
  <w:style w:type="paragraph" w:styleId="ListNumber">
    <w:name w:val="List Number"/>
    <w:basedOn w:val="Normal"/>
    <w:uiPriority w:val="10"/>
    <w:unhideWhenUsed/>
    <w:qFormat/>
    <w:rsid w:val="001E76C3"/>
    <w:pPr>
      <w:numPr>
        <w:numId w:val="14"/>
      </w:numPr>
      <w:spacing w:after="0"/>
      <w:contextualSpacing/>
    </w:pPr>
  </w:style>
  <w:style w:type="paragraph" w:styleId="ListNumber2">
    <w:name w:val="List Number 2"/>
    <w:basedOn w:val="Normal"/>
    <w:uiPriority w:val="11"/>
    <w:unhideWhenUsed/>
    <w:qFormat/>
    <w:rsid w:val="001E76C3"/>
    <w:pPr>
      <w:numPr>
        <w:ilvl w:val="1"/>
        <w:numId w:val="14"/>
      </w:numPr>
      <w:spacing w:after="0"/>
      <w:contextualSpacing/>
    </w:pPr>
  </w:style>
  <w:style w:type="paragraph" w:styleId="ListNumber3">
    <w:name w:val="List Number 3"/>
    <w:basedOn w:val="Normal"/>
    <w:uiPriority w:val="12"/>
    <w:unhideWhenUsed/>
    <w:qFormat/>
    <w:rsid w:val="001E76C3"/>
    <w:pPr>
      <w:numPr>
        <w:ilvl w:val="2"/>
        <w:numId w:val="14"/>
      </w:numPr>
      <w:spacing w:after="0"/>
      <w:contextualSpacing/>
    </w:pPr>
  </w:style>
  <w:style w:type="paragraph" w:styleId="ListNumber4">
    <w:name w:val="List Number 4"/>
    <w:basedOn w:val="Normal"/>
    <w:uiPriority w:val="99"/>
    <w:semiHidden/>
    <w:unhideWhenUsed/>
    <w:rsid w:val="00B91810"/>
    <w:pPr>
      <w:numPr>
        <w:numId w:val="8"/>
      </w:numPr>
      <w:contextualSpacing/>
    </w:pPr>
  </w:style>
  <w:style w:type="paragraph" w:styleId="ListNumber5">
    <w:name w:val="List Number 5"/>
    <w:basedOn w:val="Normal"/>
    <w:uiPriority w:val="99"/>
    <w:semiHidden/>
    <w:unhideWhenUsed/>
    <w:rsid w:val="00B91810"/>
    <w:pPr>
      <w:numPr>
        <w:numId w:val="9"/>
      </w:numPr>
      <w:contextualSpacing/>
    </w:pPr>
  </w:style>
  <w:style w:type="paragraph" w:styleId="ListParagraph">
    <w:name w:val="List Paragraph"/>
    <w:basedOn w:val="Normal"/>
    <w:uiPriority w:val="34"/>
    <w:qFormat/>
    <w:rsid w:val="00B91810"/>
    <w:pPr>
      <w:ind w:left="720"/>
      <w:contextualSpacing/>
    </w:pPr>
  </w:style>
  <w:style w:type="paragraph" w:styleId="MacroText">
    <w:name w:val="macro"/>
    <w:link w:val="MacroTextChar"/>
    <w:uiPriority w:val="99"/>
    <w:semiHidden/>
    <w:unhideWhenUsed/>
    <w:rsid w:val="00B9181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91810"/>
    <w:rPr>
      <w:rFonts w:ascii="Consolas" w:hAnsi="Consolas" w:cs="Consolas"/>
      <w:sz w:val="20"/>
      <w:szCs w:val="20"/>
      <w:lang w:val="en-GB"/>
    </w:rPr>
  </w:style>
  <w:style w:type="table" w:styleId="MediumGrid1">
    <w:name w:val="Medium Grid 1"/>
    <w:basedOn w:val="TableNormal"/>
    <w:uiPriority w:val="67"/>
    <w:semiHidden/>
    <w:rsid w:val="00B9181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B91810"/>
    <w:pPr>
      <w:spacing w:after="0" w:line="240" w:lineRule="auto"/>
    </w:pPr>
    <w:tblPr>
      <w:tblStyleRowBandSize w:val="1"/>
      <w:tblStyleColBandSize w:val="1"/>
      <w:tblBorders>
        <w:top w:val="single" w:sz="8" w:space="0" w:color="A4C6D8" w:themeColor="accent1" w:themeTint="BF"/>
        <w:left w:val="single" w:sz="8" w:space="0" w:color="A4C6D8" w:themeColor="accent1" w:themeTint="BF"/>
        <w:bottom w:val="single" w:sz="8" w:space="0" w:color="A4C6D8" w:themeColor="accent1" w:themeTint="BF"/>
        <w:right w:val="single" w:sz="8" w:space="0" w:color="A4C6D8" w:themeColor="accent1" w:themeTint="BF"/>
        <w:insideH w:val="single" w:sz="8" w:space="0" w:color="A4C6D8" w:themeColor="accent1" w:themeTint="BF"/>
        <w:insideV w:val="single" w:sz="8" w:space="0" w:color="A4C6D8" w:themeColor="accent1" w:themeTint="BF"/>
      </w:tblBorders>
    </w:tblPr>
    <w:tcPr>
      <w:shd w:val="clear" w:color="auto" w:fill="E0ECF2" w:themeFill="accent1" w:themeFillTint="3F"/>
    </w:tcPr>
    <w:tblStylePr w:type="firstRow">
      <w:rPr>
        <w:b/>
        <w:bCs/>
      </w:rPr>
    </w:tblStylePr>
    <w:tblStylePr w:type="lastRow">
      <w:rPr>
        <w:b/>
        <w:bCs/>
      </w:rPr>
      <w:tblPr/>
      <w:tcPr>
        <w:tcBorders>
          <w:top w:val="single" w:sz="18" w:space="0" w:color="A4C6D8" w:themeColor="accent1" w:themeTint="BF"/>
        </w:tcBorders>
      </w:tcPr>
    </w:tblStylePr>
    <w:tblStylePr w:type="firstCol">
      <w:rPr>
        <w:b/>
        <w:bCs/>
      </w:rPr>
    </w:tblStylePr>
    <w:tblStylePr w:type="lastCol">
      <w:rPr>
        <w:b/>
        <w:bCs/>
      </w:rPr>
    </w:tblStylePr>
    <w:tblStylePr w:type="band1Vert">
      <w:tblPr/>
      <w:tcPr>
        <w:shd w:val="clear" w:color="auto" w:fill="C2D9E5" w:themeFill="accent1" w:themeFillTint="7F"/>
      </w:tcPr>
    </w:tblStylePr>
    <w:tblStylePr w:type="band1Horz">
      <w:tblPr/>
      <w:tcPr>
        <w:shd w:val="clear" w:color="auto" w:fill="C2D9E5" w:themeFill="accent1" w:themeFillTint="7F"/>
      </w:tcPr>
    </w:tblStylePr>
  </w:style>
  <w:style w:type="table" w:styleId="MediumGrid1-Accent2">
    <w:name w:val="Medium Grid 1 Accent 2"/>
    <w:basedOn w:val="TableNormal"/>
    <w:uiPriority w:val="67"/>
    <w:semiHidden/>
    <w:rsid w:val="00B91810"/>
    <w:pPr>
      <w:spacing w:after="0" w:line="240" w:lineRule="auto"/>
    </w:pPr>
    <w:tblPr>
      <w:tblStyleRowBandSize w:val="1"/>
      <w:tblStyleColBandSize w:val="1"/>
      <w:tblBorders>
        <w:top w:val="single" w:sz="8" w:space="0" w:color="AD8DB2" w:themeColor="accent2" w:themeTint="BF"/>
        <w:left w:val="single" w:sz="8" w:space="0" w:color="AD8DB2" w:themeColor="accent2" w:themeTint="BF"/>
        <w:bottom w:val="single" w:sz="8" w:space="0" w:color="AD8DB2" w:themeColor="accent2" w:themeTint="BF"/>
        <w:right w:val="single" w:sz="8" w:space="0" w:color="AD8DB2" w:themeColor="accent2" w:themeTint="BF"/>
        <w:insideH w:val="single" w:sz="8" w:space="0" w:color="AD8DB2" w:themeColor="accent2" w:themeTint="BF"/>
        <w:insideV w:val="single" w:sz="8" w:space="0" w:color="AD8DB2" w:themeColor="accent2" w:themeTint="BF"/>
      </w:tblBorders>
    </w:tblPr>
    <w:tcPr>
      <w:shd w:val="clear" w:color="auto" w:fill="E4D9E5" w:themeFill="accent2" w:themeFillTint="3F"/>
    </w:tcPr>
    <w:tblStylePr w:type="firstRow">
      <w:rPr>
        <w:b/>
        <w:bCs/>
      </w:rPr>
    </w:tblStylePr>
    <w:tblStylePr w:type="lastRow">
      <w:rPr>
        <w:b/>
        <w:bCs/>
      </w:rPr>
      <w:tblPr/>
      <w:tcPr>
        <w:tcBorders>
          <w:top w:val="single" w:sz="18" w:space="0" w:color="AD8DB2" w:themeColor="accent2" w:themeTint="BF"/>
        </w:tcBorders>
      </w:tcPr>
    </w:tblStylePr>
    <w:tblStylePr w:type="firstCol">
      <w:rPr>
        <w:b/>
        <w:bCs/>
      </w:rPr>
    </w:tblStylePr>
    <w:tblStylePr w:type="lastCol">
      <w:rPr>
        <w:b/>
        <w:bCs/>
      </w:rPr>
    </w:tblStylePr>
    <w:tblStylePr w:type="band1Vert">
      <w:tblPr/>
      <w:tcPr>
        <w:shd w:val="clear" w:color="auto" w:fill="C8B3CC" w:themeFill="accent2" w:themeFillTint="7F"/>
      </w:tcPr>
    </w:tblStylePr>
    <w:tblStylePr w:type="band1Horz">
      <w:tblPr/>
      <w:tcPr>
        <w:shd w:val="clear" w:color="auto" w:fill="C8B3CC" w:themeFill="accent2" w:themeFillTint="7F"/>
      </w:tcPr>
    </w:tblStylePr>
  </w:style>
  <w:style w:type="table" w:styleId="MediumGrid1-Accent3">
    <w:name w:val="Medium Grid 1 Accent 3"/>
    <w:basedOn w:val="TableNormal"/>
    <w:uiPriority w:val="67"/>
    <w:semiHidden/>
    <w:rsid w:val="00B91810"/>
    <w:pPr>
      <w:spacing w:after="0" w:line="240" w:lineRule="auto"/>
    </w:pPr>
    <w:tblPr>
      <w:tblStyleRowBandSize w:val="1"/>
      <w:tblStyleColBandSize w:val="1"/>
      <w:tblBorders>
        <w:top w:val="single" w:sz="8" w:space="0" w:color="9DD396" w:themeColor="accent3" w:themeTint="BF"/>
        <w:left w:val="single" w:sz="8" w:space="0" w:color="9DD396" w:themeColor="accent3" w:themeTint="BF"/>
        <w:bottom w:val="single" w:sz="8" w:space="0" w:color="9DD396" w:themeColor="accent3" w:themeTint="BF"/>
        <w:right w:val="single" w:sz="8" w:space="0" w:color="9DD396" w:themeColor="accent3" w:themeTint="BF"/>
        <w:insideH w:val="single" w:sz="8" w:space="0" w:color="9DD396" w:themeColor="accent3" w:themeTint="BF"/>
        <w:insideV w:val="single" w:sz="8" w:space="0" w:color="9DD396" w:themeColor="accent3" w:themeTint="BF"/>
      </w:tblBorders>
    </w:tblPr>
    <w:tcPr>
      <w:shd w:val="clear" w:color="auto" w:fill="DEF0DC" w:themeFill="accent3" w:themeFillTint="3F"/>
    </w:tcPr>
    <w:tblStylePr w:type="firstRow">
      <w:rPr>
        <w:b/>
        <w:bCs/>
      </w:rPr>
    </w:tblStylePr>
    <w:tblStylePr w:type="lastRow">
      <w:rPr>
        <w:b/>
        <w:bCs/>
      </w:rPr>
      <w:tblPr/>
      <w:tcPr>
        <w:tcBorders>
          <w:top w:val="single" w:sz="18" w:space="0" w:color="9DD396" w:themeColor="accent3" w:themeTint="BF"/>
        </w:tcBorders>
      </w:tcPr>
    </w:tblStylePr>
    <w:tblStylePr w:type="firstCol">
      <w:rPr>
        <w:b/>
        <w:bCs/>
      </w:rPr>
    </w:tblStylePr>
    <w:tblStylePr w:type="lastCol">
      <w:rPr>
        <w:b/>
        <w:bCs/>
      </w:rPr>
    </w:tblStylePr>
    <w:tblStylePr w:type="band1Vert">
      <w:tblPr/>
      <w:tcPr>
        <w:shd w:val="clear" w:color="auto" w:fill="BDE2B9" w:themeFill="accent3" w:themeFillTint="7F"/>
      </w:tcPr>
    </w:tblStylePr>
    <w:tblStylePr w:type="band1Horz">
      <w:tblPr/>
      <w:tcPr>
        <w:shd w:val="clear" w:color="auto" w:fill="BDE2B9" w:themeFill="accent3" w:themeFillTint="7F"/>
      </w:tcPr>
    </w:tblStylePr>
  </w:style>
  <w:style w:type="table" w:styleId="MediumGrid1-Accent4">
    <w:name w:val="Medium Grid 1 Accent 4"/>
    <w:basedOn w:val="TableNormal"/>
    <w:uiPriority w:val="67"/>
    <w:semiHidden/>
    <w:rsid w:val="00B91810"/>
    <w:pPr>
      <w:spacing w:after="0" w:line="240" w:lineRule="auto"/>
    </w:pPr>
    <w:tblPr>
      <w:tblStyleRowBandSize w:val="1"/>
      <w:tblStyleColBandSize w:val="1"/>
      <w:tblBorders>
        <w:top w:val="single" w:sz="8" w:space="0" w:color="F9B161" w:themeColor="accent4" w:themeTint="BF"/>
        <w:left w:val="single" w:sz="8" w:space="0" w:color="F9B161" w:themeColor="accent4" w:themeTint="BF"/>
        <w:bottom w:val="single" w:sz="8" w:space="0" w:color="F9B161" w:themeColor="accent4" w:themeTint="BF"/>
        <w:right w:val="single" w:sz="8" w:space="0" w:color="F9B161" w:themeColor="accent4" w:themeTint="BF"/>
        <w:insideH w:val="single" w:sz="8" w:space="0" w:color="F9B161" w:themeColor="accent4" w:themeTint="BF"/>
        <w:insideV w:val="single" w:sz="8" w:space="0" w:color="F9B161" w:themeColor="accent4" w:themeTint="BF"/>
      </w:tblBorders>
    </w:tblPr>
    <w:tcPr>
      <w:shd w:val="clear" w:color="auto" w:fill="FDE5CB" w:themeFill="accent4" w:themeFillTint="3F"/>
    </w:tcPr>
    <w:tblStylePr w:type="firstRow">
      <w:rPr>
        <w:b/>
        <w:bCs/>
      </w:rPr>
    </w:tblStylePr>
    <w:tblStylePr w:type="lastRow">
      <w:rPr>
        <w:b/>
        <w:bCs/>
      </w:rPr>
      <w:tblPr/>
      <w:tcPr>
        <w:tcBorders>
          <w:top w:val="single" w:sz="18" w:space="0" w:color="F9B161" w:themeColor="accent4" w:themeTint="BF"/>
        </w:tcBorders>
      </w:tcPr>
    </w:tblStylePr>
    <w:tblStylePr w:type="firstCol">
      <w:rPr>
        <w:b/>
        <w:bCs/>
      </w:rPr>
    </w:tblStylePr>
    <w:tblStylePr w:type="lastCol">
      <w:rPr>
        <w:b/>
        <w:bCs/>
      </w:rPr>
    </w:tblStylePr>
    <w:tblStylePr w:type="band1Vert">
      <w:tblPr/>
      <w:tcPr>
        <w:shd w:val="clear" w:color="auto" w:fill="FBCB96" w:themeFill="accent4" w:themeFillTint="7F"/>
      </w:tcPr>
    </w:tblStylePr>
    <w:tblStylePr w:type="band1Horz">
      <w:tblPr/>
      <w:tcPr>
        <w:shd w:val="clear" w:color="auto" w:fill="FBCB96" w:themeFill="accent4" w:themeFillTint="7F"/>
      </w:tcPr>
    </w:tblStylePr>
  </w:style>
  <w:style w:type="table" w:styleId="MediumGrid1-Accent5">
    <w:name w:val="Medium Grid 1 Accent 5"/>
    <w:basedOn w:val="TableNormal"/>
    <w:uiPriority w:val="67"/>
    <w:semiHidden/>
    <w:rsid w:val="00B91810"/>
    <w:pPr>
      <w:spacing w:after="0" w:line="240" w:lineRule="auto"/>
    </w:pPr>
    <w:tblPr>
      <w:tblStyleRowBandSize w:val="1"/>
      <w:tblStyleColBandSize w:val="1"/>
      <w:tblBorders>
        <w:top w:val="single" w:sz="8" w:space="0" w:color="57C4C1" w:themeColor="accent5" w:themeTint="BF"/>
        <w:left w:val="single" w:sz="8" w:space="0" w:color="57C4C1" w:themeColor="accent5" w:themeTint="BF"/>
        <w:bottom w:val="single" w:sz="8" w:space="0" w:color="57C4C1" w:themeColor="accent5" w:themeTint="BF"/>
        <w:right w:val="single" w:sz="8" w:space="0" w:color="57C4C1" w:themeColor="accent5" w:themeTint="BF"/>
        <w:insideH w:val="single" w:sz="8" w:space="0" w:color="57C4C1" w:themeColor="accent5" w:themeTint="BF"/>
        <w:insideV w:val="single" w:sz="8" w:space="0" w:color="57C4C1" w:themeColor="accent5" w:themeTint="BF"/>
      </w:tblBorders>
    </w:tblPr>
    <w:tcPr>
      <w:shd w:val="clear" w:color="auto" w:fill="C7EBEA" w:themeFill="accent5" w:themeFillTint="3F"/>
    </w:tcPr>
    <w:tblStylePr w:type="firstRow">
      <w:rPr>
        <w:b/>
        <w:bCs/>
      </w:rPr>
    </w:tblStylePr>
    <w:tblStylePr w:type="lastRow">
      <w:rPr>
        <w:b/>
        <w:bCs/>
      </w:rPr>
      <w:tblPr/>
      <w:tcPr>
        <w:tcBorders>
          <w:top w:val="single" w:sz="18" w:space="0" w:color="57C4C1" w:themeColor="accent5" w:themeTint="BF"/>
        </w:tcBorders>
      </w:tcPr>
    </w:tblStylePr>
    <w:tblStylePr w:type="firstCol">
      <w:rPr>
        <w:b/>
        <w:bCs/>
      </w:rPr>
    </w:tblStylePr>
    <w:tblStylePr w:type="lastCol">
      <w:rPr>
        <w:b/>
        <w:bCs/>
      </w:rPr>
    </w:tblStylePr>
    <w:tblStylePr w:type="band1Vert">
      <w:tblPr/>
      <w:tcPr>
        <w:shd w:val="clear" w:color="auto" w:fill="8FD8D6" w:themeFill="accent5" w:themeFillTint="7F"/>
      </w:tcPr>
    </w:tblStylePr>
    <w:tblStylePr w:type="band1Horz">
      <w:tblPr/>
      <w:tcPr>
        <w:shd w:val="clear" w:color="auto" w:fill="8FD8D6" w:themeFill="accent5" w:themeFillTint="7F"/>
      </w:tcPr>
    </w:tblStylePr>
  </w:style>
  <w:style w:type="table" w:styleId="MediumGrid1-Accent6">
    <w:name w:val="Medium Grid 1 Accent 6"/>
    <w:basedOn w:val="TableNormal"/>
    <w:uiPriority w:val="67"/>
    <w:semiHidden/>
    <w:rsid w:val="00B91810"/>
    <w:pPr>
      <w:spacing w:after="0" w:line="240" w:lineRule="auto"/>
    </w:pPr>
    <w:tblPr>
      <w:tblStyleRowBandSize w:val="1"/>
      <w:tblStyleColBandSize w:val="1"/>
      <w:tblBorders>
        <w:top w:val="single" w:sz="8" w:space="0" w:color="F2F8FB" w:themeColor="accent6" w:themeTint="BF"/>
        <w:left w:val="single" w:sz="8" w:space="0" w:color="F2F8FB" w:themeColor="accent6" w:themeTint="BF"/>
        <w:bottom w:val="single" w:sz="8" w:space="0" w:color="F2F8FB" w:themeColor="accent6" w:themeTint="BF"/>
        <w:right w:val="single" w:sz="8" w:space="0" w:color="F2F8FB" w:themeColor="accent6" w:themeTint="BF"/>
        <w:insideH w:val="single" w:sz="8" w:space="0" w:color="F2F8FB" w:themeColor="accent6" w:themeTint="BF"/>
        <w:insideV w:val="single" w:sz="8" w:space="0" w:color="F2F8FB" w:themeColor="accent6" w:themeTint="BF"/>
      </w:tblBorders>
    </w:tblPr>
    <w:tcPr>
      <w:shd w:val="clear" w:color="auto" w:fill="FAFCFD" w:themeFill="accent6" w:themeFillTint="3F"/>
    </w:tcPr>
    <w:tblStylePr w:type="firstRow">
      <w:rPr>
        <w:b/>
        <w:bCs/>
      </w:rPr>
    </w:tblStylePr>
    <w:tblStylePr w:type="lastRow">
      <w:rPr>
        <w:b/>
        <w:bCs/>
      </w:rPr>
      <w:tblPr/>
      <w:tcPr>
        <w:tcBorders>
          <w:top w:val="single" w:sz="18" w:space="0" w:color="F2F8FB" w:themeColor="accent6" w:themeTint="BF"/>
        </w:tcBorders>
      </w:tcPr>
    </w:tblStylePr>
    <w:tblStylePr w:type="firstCol">
      <w:rPr>
        <w:b/>
        <w:bCs/>
      </w:rPr>
    </w:tblStylePr>
    <w:tblStylePr w:type="lastCol">
      <w:rPr>
        <w:b/>
        <w:bCs/>
      </w:rPr>
    </w:tblStylePr>
    <w:tblStylePr w:type="band1Vert">
      <w:tblPr/>
      <w:tcPr>
        <w:shd w:val="clear" w:color="auto" w:fill="F6FAFC" w:themeFill="accent6" w:themeFillTint="7F"/>
      </w:tcPr>
    </w:tblStylePr>
    <w:tblStylePr w:type="band1Horz">
      <w:tblPr/>
      <w:tcPr>
        <w:shd w:val="clear" w:color="auto" w:fill="F6FAFC" w:themeFill="accent6" w:themeFillTint="7F"/>
      </w:tcPr>
    </w:tblStylePr>
  </w:style>
  <w:style w:type="table" w:styleId="MediumGrid2">
    <w:name w:val="Medium Grid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86B3CB" w:themeColor="accent1"/>
        <w:left w:val="single" w:sz="8" w:space="0" w:color="86B3CB" w:themeColor="accent1"/>
        <w:bottom w:val="single" w:sz="8" w:space="0" w:color="86B3CB" w:themeColor="accent1"/>
        <w:right w:val="single" w:sz="8" w:space="0" w:color="86B3CB" w:themeColor="accent1"/>
        <w:insideH w:val="single" w:sz="8" w:space="0" w:color="86B3CB" w:themeColor="accent1"/>
        <w:insideV w:val="single" w:sz="8" w:space="0" w:color="86B3CB" w:themeColor="accent1"/>
      </w:tblBorders>
    </w:tblPr>
    <w:tcPr>
      <w:shd w:val="clear" w:color="auto" w:fill="E0ECF2" w:themeFill="accent1" w:themeFillTint="3F"/>
    </w:tcPr>
    <w:tblStylePr w:type="firstRow">
      <w:rPr>
        <w:b/>
        <w:bCs/>
        <w:color w:val="000000" w:themeColor="text1"/>
      </w:rPr>
      <w:tblPr/>
      <w:tcPr>
        <w:shd w:val="clear" w:color="auto" w:fill="F3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FF4" w:themeFill="accent1" w:themeFillTint="33"/>
      </w:tcPr>
    </w:tblStylePr>
    <w:tblStylePr w:type="band1Vert">
      <w:tblPr/>
      <w:tcPr>
        <w:shd w:val="clear" w:color="auto" w:fill="C2D9E5" w:themeFill="accent1" w:themeFillTint="7F"/>
      </w:tcPr>
    </w:tblStylePr>
    <w:tblStylePr w:type="band1Horz">
      <w:tblPr/>
      <w:tcPr>
        <w:tcBorders>
          <w:insideH w:val="single" w:sz="6" w:space="0" w:color="86B3CB" w:themeColor="accent1"/>
          <w:insideV w:val="single" w:sz="6" w:space="0" w:color="86B3CB" w:themeColor="accent1"/>
        </w:tcBorders>
        <w:shd w:val="clear" w:color="auto" w:fill="C2D9E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926899" w:themeColor="accent2"/>
        <w:left w:val="single" w:sz="8" w:space="0" w:color="926899" w:themeColor="accent2"/>
        <w:bottom w:val="single" w:sz="8" w:space="0" w:color="926899" w:themeColor="accent2"/>
        <w:right w:val="single" w:sz="8" w:space="0" w:color="926899" w:themeColor="accent2"/>
        <w:insideH w:val="single" w:sz="8" w:space="0" w:color="926899" w:themeColor="accent2"/>
        <w:insideV w:val="single" w:sz="8" w:space="0" w:color="926899" w:themeColor="accent2"/>
      </w:tblBorders>
    </w:tblPr>
    <w:tcPr>
      <w:shd w:val="clear" w:color="auto" w:fill="E4D9E5" w:themeFill="accent2" w:themeFillTint="3F"/>
    </w:tcPr>
    <w:tblStylePr w:type="firstRow">
      <w:rPr>
        <w:b/>
        <w:bCs/>
        <w:color w:val="000000" w:themeColor="text1"/>
      </w:rPr>
      <w:tblPr/>
      <w:tcPr>
        <w:shd w:val="clear" w:color="auto" w:fill="F4F0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0EA" w:themeFill="accent2" w:themeFillTint="33"/>
      </w:tcPr>
    </w:tblStylePr>
    <w:tblStylePr w:type="band1Vert">
      <w:tblPr/>
      <w:tcPr>
        <w:shd w:val="clear" w:color="auto" w:fill="C8B3CC" w:themeFill="accent2" w:themeFillTint="7F"/>
      </w:tcPr>
    </w:tblStylePr>
    <w:tblStylePr w:type="band1Horz">
      <w:tblPr/>
      <w:tcPr>
        <w:tcBorders>
          <w:insideH w:val="single" w:sz="6" w:space="0" w:color="926899" w:themeColor="accent2"/>
          <w:insideV w:val="single" w:sz="6" w:space="0" w:color="926899" w:themeColor="accent2"/>
        </w:tcBorders>
        <w:shd w:val="clear" w:color="auto" w:fill="C8B3C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7DC574" w:themeColor="accent3"/>
        <w:left w:val="single" w:sz="8" w:space="0" w:color="7DC574" w:themeColor="accent3"/>
        <w:bottom w:val="single" w:sz="8" w:space="0" w:color="7DC574" w:themeColor="accent3"/>
        <w:right w:val="single" w:sz="8" w:space="0" w:color="7DC574" w:themeColor="accent3"/>
        <w:insideH w:val="single" w:sz="8" w:space="0" w:color="7DC574" w:themeColor="accent3"/>
        <w:insideV w:val="single" w:sz="8" w:space="0" w:color="7DC574" w:themeColor="accent3"/>
      </w:tblBorders>
    </w:tblPr>
    <w:tcPr>
      <w:shd w:val="clear" w:color="auto" w:fill="DEF0DC" w:themeFill="accent3" w:themeFillTint="3F"/>
    </w:tcPr>
    <w:tblStylePr w:type="firstRow">
      <w:rPr>
        <w:b/>
        <w:bCs/>
        <w:color w:val="000000" w:themeColor="text1"/>
      </w:rPr>
      <w:tblPr/>
      <w:tcPr>
        <w:shd w:val="clear" w:color="auto" w:fill="F2F9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3E3" w:themeFill="accent3" w:themeFillTint="33"/>
      </w:tcPr>
    </w:tblStylePr>
    <w:tblStylePr w:type="band1Vert">
      <w:tblPr/>
      <w:tcPr>
        <w:shd w:val="clear" w:color="auto" w:fill="BDE2B9" w:themeFill="accent3" w:themeFillTint="7F"/>
      </w:tcPr>
    </w:tblStylePr>
    <w:tblStylePr w:type="band1Horz">
      <w:tblPr/>
      <w:tcPr>
        <w:tcBorders>
          <w:insideH w:val="single" w:sz="6" w:space="0" w:color="7DC574" w:themeColor="accent3"/>
          <w:insideV w:val="single" w:sz="6" w:space="0" w:color="7DC574" w:themeColor="accent3"/>
        </w:tcBorders>
        <w:shd w:val="clear" w:color="auto" w:fill="BDE2B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F8982D" w:themeColor="accent4"/>
        <w:left w:val="single" w:sz="8" w:space="0" w:color="F8982D" w:themeColor="accent4"/>
        <w:bottom w:val="single" w:sz="8" w:space="0" w:color="F8982D" w:themeColor="accent4"/>
        <w:right w:val="single" w:sz="8" w:space="0" w:color="F8982D" w:themeColor="accent4"/>
        <w:insideH w:val="single" w:sz="8" w:space="0" w:color="F8982D" w:themeColor="accent4"/>
        <w:insideV w:val="single" w:sz="8" w:space="0" w:color="F8982D" w:themeColor="accent4"/>
      </w:tblBorders>
    </w:tblPr>
    <w:tcPr>
      <w:shd w:val="clear" w:color="auto" w:fill="FDE5CB" w:themeFill="accent4" w:themeFillTint="3F"/>
    </w:tcPr>
    <w:tblStylePr w:type="firstRow">
      <w:rPr>
        <w:b/>
        <w:bCs/>
        <w:color w:val="000000" w:themeColor="text1"/>
      </w:rPr>
      <w:tblPr/>
      <w:tcPr>
        <w:shd w:val="clear" w:color="auto" w:fill="FE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AD4" w:themeFill="accent4" w:themeFillTint="33"/>
      </w:tcPr>
    </w:tblStylePr>
    <w:tblStylePr w:type="band1Vert">
      <w:tblPr/>
      <w:tcPr>
        <w:shd w:val="clear" w:color="auto" w:fill="FBCB96" w:themeFill="accent4" w:themeFillTint="7F"/>
      </w:tcPr>
    </w:tblStylePr>
    <w:tblStylePr w:type="band1Horz">
      <w:tblPr/>
      <w:tcPr>
        <w:tcBorders>
          <w:insideH w:val="single" w:sz="6" w:space="0" w:color="F8982D" w:themeColor="accent4"/>
          <w:insideV w:val="single" w:sz="6" w:space="0" w:color="F8982D" w:themeColor="accent4"/>
        </w:tcBorders>
        <w:shd w:val="clear" w:color="auto" w:fill="FBCB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369A98" w:themeColor="accent5"/>
        <w:left w:val="single" w:sz="8" w:space="0" w:color="369A98" w:themeColor="accent5"/>
        <w:bottom w:val="single" w:sz="8" w:space="0" w:color="369A98" w:themeColor="accent5"/>
        <w:right w:val="single" w:sz="8" w:space="0" w:color="369A98" w:themeColor="accent5"/>
        <w:insideH w:val="single" w:sz="8" w:space="0" w:color="369A98" w:themeColor="accent5"/>
        <w:insideV w:val="single" w:sz="8" w:space="0" w:color="369A98" w:themeColor="accent5"/>
      </w:tblBorders>
    </w:tblPr>
    <w:tcPr>
      <w:shd w:val="clear" w:color="auto" w:fill="C7EBEA" w:themeFill="accent5" w:themeFillTint="3F"/>
    </w:tcPr>
    <w:tblStylePr w:type="firstRow">
      <w:rPr>
        <w:b/>
        <w:bCs/>
        <w:color w:val="000000" w:themeColor="text1"/>
      </w:rPr>
      <w:tblPr/>
      <w:tcPr>
        <w:shd w:val="clear" w:color="auto" w:fill="E9F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FEE" w:themeFill="accent5" w:themeFillTint="33"/>
      </w:tcPr>
    </w:tblStylePr>
    <w:tblStylePr w:type="band1Vert">
      <w:tblPr/>
      <w:tcPr>
        <w:shd w:val="clear" w:color="auto" w:fill="8FD8D6" w:themeFill="accent5" w:themeFillTint="7F"/>
      </w:tcPr>
    </w:tblStylePr>
    <w:tblStylePr w:type="band1Horz">
      <w:tblPr/>
      <w:tcPr>
        <w:tcBorders>
          <w:insideH w:val="single" w:sz="6" w:space="0" w:color="369A98" w:themeColor="accent5"/>
          <w:insideV w:val="single" w:sz="6" w:space="0" w:color="369A98" w:themeColor="accent5"/>
        </w:tcBorders>
        <w:shd w:val="clear" w:color="auto" w:fill="8FD8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EFF6FA" w:themeColor="accent6"/>
        <w:left w:val="single" w:sz="8" w:space="0" w:color="EFF6FA" w:themeColor="accent6"/>
        <w:bottom w:val="single" w:sz="8" w:space="0" w:color="EFF6FA" w:themeColor="accent6"/>
        <w:right w:val="single" w:sz="8" w:space="0" w:color="EFF6FA" w:themeColor="accent6"/>
        <w:insideH w:val="single" w:sz="8" w:space="0" w:color="EFF6FA" w:themeColor="accent6"/>
        <w:insideV w:val="single" w:sz="8" w:space="0" w:color="EFF6FA" w:themeColor="accent6"/>
      </w:tblBorders>
    </w:tblPr>
    <w:tcPr>
      <w:shd w:val="clear" w:color="auto" w:fill="FAFCFD" w:themeFill="accent6" w:themeFillTint="3F"/>
    </w:tcPr>
    <w:tblStylePr w:type="firstRow">
      <w:rPr>
        <w:b/>
        <w:bCs/>
        <w:color w:val="000000" w:themeColor="text1"/>
      </w:rPr>
      <w:tblPr/>
      <w:tcPr>
        <w:shd w:val="clear" w:color="auto" w:fill="FDFE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DFE" w:themeFill="accent6" w:themeFillTint="33"/>
      </w:tcPr>
    </w:tblStylePr>
    <w:tblStylePr w:type="band1Vert">
      <w:tblPr/>
      <w:tcPr>
        <w:shd w:val="clear" w:color="auto" w:fill="F6FAFC" w:themeFill="accent6" w:themeFillTint="7F"/>
      </w:tcPr>
    </w:tblStylePr>
    <w:tblStylePr w:type="band1Horz">
      <w:tblPr/>
      <w:tcPr>
        <w:tcBorders>
          <w:insideH w:val="single" w:sz="6" w:space="0" w:color="EFF6FA" w:themeColor="accent6"/>
          <w:insideV w:val="single" w:sz="6" w:space="0" w:color="EFF6FA" w:themeColor="accent6"/>
        </w:tcBorders>
        <w:shd w:val="clear" w:color="auto" w:fill="F6FA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C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3C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3C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3C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3C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9E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9E5" w:themeFill="accent1" w:themeFillTint="7F"/>
      </w:tcPr>
    </w:tblStylePr>
  </w:style>
  <w:style w:type="table" w:styleId="MediumGrid3-Accent2">
    <w:name w:val="Medium Grid 3 Accent 2"/>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9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689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689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689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689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B3C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B3CC" w:themeFill="accent2" w:themeFillTint="7F"/>
      </w:tcPr>
    </w:tblStylePr>
  </w:style>
  <w:style w:type="table" w:styleId="MediumGrid3-Accent3">
    <w:name w:val="Medium Grid 3 Accent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0D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C57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C57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C57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C57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2B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2B9" w:themeFill="accent3" w:themeFillTint="7F"/>
      </w:tcPr>
    </w:tblStylePr>
  </w:style>
  <w:style w:type="table" w:styleId="MediumGrid3-Accent4">
    <w:name w:val="Medium Grid 3 Accent 4"/>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82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82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82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82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B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B96" w:themeFill="accent4" w:themeFillTint="7F"/>
      </w:tcPr>
    </w:tblStylePr>
  </w:style>
  <w:style w:type="table" w:styleId="MediumGrid3-Accent5">
    <w:name w:val="Medium Grid 3 Accent 5"/>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EB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9A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9A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9A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9A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D8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D8D6" w:themeFill="accent5" w:themeFillTint="7F"/>
      </w:tcPr>
    </w:tblStylePr>
  </w:style>
  <w:style w:type="table" w:styleId="MediumGrid3-Accent6">
    <w:name w:val="Medium Grid 3 Accent 6"/>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F6F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F6F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F6F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F6F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A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AFC" w:themeFill="accent6" w:themeFillTint="7F"/>
      </w:tcPr>
    </w:tblStylePr>
  </w:style>
  <w:style w:type="table" w:styleId="MediumList1">
    <w:name w:val="Medium List 1"/>
    <w:basedOn w:val="TableNormal"/>
    <w:uiPriority w:val="65"/>
    <w:semiHidden/>
    <w:rsid w:val="00B9181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E103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B91810"/>
    <w:pPr>
      <w:spacing w:after="0" w:line="240" w:lineRule="auto"/>
    </w:pPr>
    <w:tblPr>
      <w:tblStyleRowBandSize w:val="1"/>
      <w:tblStyleColBandSize w:val="1"/>
      <w:tblBorders>
        <w:top w:val="single" w:sz="8" w:space="0" w:color="86B3CB" w:themeColor="accent1"/>
        <w:bottom w:val="single" w:sz="8" w:space="0" w:color="86B3CB" w:themeColor="accent1"/>
      </w:tblBorders>
    </w:tblPr>
    <w:tblStylePr w:type="firstRow">
      <w:rPr>
        <w:rFonts w:asciiTheme="majorHAnsi" w:eastAsiaTheme="majorEastAsia" w:hAnsiTheme="majorHAnsi" w:cstheme="majorBidi"/>
      </w:rPr>
      <w:tblPr/>
      <w:tcPr>
        <w:tcBorders>
          <w:top w:val="nil"/>
          <w:bottom w:val="single" w:sz="8" w:space="0" w:color="86B3CB" w:themeColor="accent1"/>
        </w:tcBorders>
      </w:tcPr>
    </w:tblStylePr>
    <w:tblStylePr w:type="lastRow">
      <w:rPr>
        <w:b/>
        <w:bCs/>
        <w:color w:val="AE1031" w:themeColor="text2"/>
      </w:rPr>
      <w:tblPr/>
      <w:tcPr>
        <w:tcBorders>
          <w:top w:val="single" w:sz="8" w:space="0" w:color="86B3CB" w:themeColor="accent1"/>
          <w:bottom w:val="single" w:sz="8" w:space="0" w:color="86B3CB" w:themeColor="accent1"/>
        </w:tcBorders>
      </w:tcPr>
    </w:tblStylePr>
    <w:tblStylePr w:type="firstCol">
      <w:rPr>
        <w:b/>
        <w:bCs/>
      </w:rPr>
    </w:tblStylePr>
    <w:tblStylePr w:type="lastCol">
      <w:rPr>
        <w:b/>
        <w:bCs/>
      </w:rPr>
      <w:tblPr/>
      <w:tcPr>
        <w:tcBorders>
          <w:top w:val="single" w:sz="8" w:space="0" w:color="86B3CB" w:themeColor="accent1"/>
          <w:bottom w:val="single" w:sz="8" w:space="0" w:color="86B3CB" w:themeColor="accent1"/>
        </w:tcBorders>
      </w:tcPr>
    </w:tblStylePr>
    <w:tblStylePr w:type="band1Vert">
      <w:tblPr/>
      <w:tcPr>
        <w:shd w:val="clear" w:color="auto" w:fill="E0ECF2" w:themeFill="accent1" w:themeFillTint="3F"/>
      </w:tcPr>
    </w:tblStylePr>
    <w:tblStylePr w:type="band1Horz">
      <w:tblPr/>
      <w:tcPr>
        <w:shd w:val="clear" w:color="auto" w:fill="E0ECF2" w:themeFill="accent1" w:themeFillTint="3F"/>
      </w:tcPr>
    </w:tblStylePr>
  </w:style>
  <w:style w:type="table" w:styleId="MediumList1-Accent2">
    <w:name w:val="Medium List 1 Accent 2"/>
    <w:basedOn w:val="TableNormal"/>
    <w:uiPriority w:val="65"/>
    <w:semiHidden/>
    <w:rsid w:val="00B91810"/>
    <w:pPr>
      <w:spacing w:after="0" w:line="240" w:lineRule="auto"/>
    </w:pPr>
    <w:tblPr>
      <w:tblStyleRowBandSize w:val="1"/>
      <w:tblStyleColBandSize w:val="1"/>
      <w:tblBorders>
        <w:top w:val="single" w:sz="8" w:space="0" w:color="926899" w:themeColor="accent2"/>
        <w:bottom w:val="single" w:sz="8" w:space="0" w:color="926899" w:themeColor="accent2"/>
      </w:tblBorders>
    </w:tblPr>
    <w:tblStylePr w:type="firstRow">
      <w:rPr>
        <w:rFonts w:asciiTheme="majorHAnsi" w:eastAsiaTheme="majorEastAsia" w:hAnsiTheme="majorHAnsi" w:cstheme="majorBidi"/>
      </w:rPr>
      <w:tblPr/>
      <w:tcPr>
        <w:tcBorders>
          <w:top w:val="nil"/>
          <w:bottom w:val="single" w:sz="8" w:space="0" w:color="926899" w:themeColor="accent2"/>
        </w:tcBorders>
      </w:tcPr>
    </w:tblStylePr>
    <w:tblStylePr w:type="lastRow">
      <w:rPr>
        <w:b/>
        <w:bCs/>
        <w:color w:val="AE1031" w:themeColor="text2"/>
      </w:rPr>
      <w:tblPr/>
      <w:tcPr>
        <w:tcBorders>
          <w:top w:val="single" w:sz="8" w:space="0" w:color="926899" w:themeColor="accent2"/>
          <w:bottom w:val="single" w:sz="8" w:space="0" w:color="926899" w:themeColor="accent2"/>
        </w:tcBorders>
      </w:tcPr>
    </w:tblStylePr>
    <w:tblStylePr w:type="firstCol">
      <w:rPr>
        <w:b/>
        <w:bCs/>
      </w:rPr>
    </w:tblStylePr>
    <w:tblStylePr w:type="lastCol">
      <w:rPr>
        <w:b/>
        <w:bCs/>
      </w:rPr>
      <w:tblPr/>
      <w:tcPr>
        <w:tcBorders>
          <w:top w:val="single" w:sz="8" w:space="0" w:color="926899" w:themeColor="accent2"/>
          <w:bottom w:val="single" w:sz="8" w:space="0" w:color="926899" w:themeColor="accent2"/>
        </w:tcBorders>
      </w:tcPr>
    </w:tblStylePr>
    <w:tblStylePr w:type="band1Vert">
      <w:tblPr/>
      <w:tcPr>
        <w:shd w:val="clear" w:color="auto" w:fill="E4D9E5" w:themeFill="accent2" w:themeFillTint="3F"/>
      </w:tcPr>
    </w:tblStylePr>
    <w:tblStylePr w:type="band1Horz">
      <w:tblPr/>
      <w:tcPr>
        <w:shd w:val="clear" w:color="auto" w:fill="E4D9E5" w:themeFill="accent2" w:themeFillTint="3F"/>
      </w:tcPr>
    </w:tblStylePr>
  </w:style>
  <w:style w:type="table" w:styleId="MediumList1-Accent3">
    <w:name w:val="Medium List 1 Accent 3"/>
    <w:basedOn w:val="TableNormal"/>
    <w:uiPriority w:val="65"/>
    <w:semiHidden/>
    <w:rsid w:val="00B91810"/>
    <w:pPr>
      <w:spacing w:after="0" w:line="240" w:lineRule="auto"/>
    </w:pPr>
    <w:tblPr>
      <w:tblStyleRowBandSize w:val="1"/>
      <w:tblStyleColBandSize w:val="1"/>
      <w:tblBorders>
        <w:top w:val="single" w:sz="8" w:space="0" w:color="7DC574" w:themeColor="accent3"/>
        <w:bottom w:val="single" w:sz="8" w:space="0" w:color="7DC574" w:themeColor="accent3"/>
      </w:tblBorders>
    </w:tblPr>
    <w:tblStylePr w:type="firstRow">
      <w:rPr>
        <w:rFonts w:asciiTheme="majorHAnsi" w:eastAsiaTheme="majorEastAsia" w:hAnsiTheme="majorHAnsi" w:cstheme="majorBidi"/>
      </w:rPr>
      <w:tblPr/>
      <w:tcPr>
        <w:tcBorders>
          <w:top w:val="nil"/>
          <w:bottom w:val="single" w:sz="8" w:space="0" w:color="7DC574" w:themeColor="accent3"/>
        </w:tcBorders>
      </w:tcPr>
    </w:tblStylePr>
    <w:tblStylePr w:type="lastRow">
      <w:rPr>
        <w:b/>
        <w:bCs/>
        <w:color w:val="AE1031" w:themeColor="text2"/>
      </w:rPr>
      <w:tblPr/>
      <w:tcPr>
        <w:tcBorders>
          <w:top w:val="single" w:sz="8" w:space="0" w:color="7DC574" w:themeColor="accent3"/>
          <w:bottom w:val="single" w:sz="8" w:space="0" w:color="7DC574" w:themeColor="accent3"/>
        </w:tcBorders>
      </w:tcPr>
    </w:tblStylePr>
    <w:tblStylePr w:type="firstCol">
      <w:rPr>
        <w:b/>
        <w:bCs/>
      </w:rPr>
    </w:tblStylePr>
    <w:tblStylePr w:type="lastCol">
      <w:rPr>
        <w:b/>
        <w:bCs/>
      </w:rPr>
      <w:tblPr/>
      <w:tcPr>
        <w:tcBorders>
          <w:top w:val="single" w:sz="8" w:space="0" w:color="7DC574" w:themeColor="accent3"/>
          <w:bottom w:val="single" w:sz="8" w:space="0" w:color="7DC574" w:themeColor="accent3"/>
        </w:tcBorders>
      </w:tcPr>
    </w:tblStylePr>
    <w:tblStylePr w:type="band1Vert">
      <w:tblPr/>
      <w:tcPr>
        <w:shd w:val="clear" w:color="auto" w:fill="DEF0DC" w:themeFill="accent3" w:themeFillTint="3F"/>
      </w:tcPr>
    </w:tblStylePr>
    <w:tblStylePr w:type="band1Horz">
      <w:tblPr/>
      <w:tcPr>
        <w:shd w:val="clear" w:color="auto" w:fill="DEF0DC" w:themeFill="accent3" w:themeFillTint="3F"/>
      </w:tcPr>
    </w:tblStylePr>
  </w:style>
  <w:style w:type="table" w:styleId="MediumList1-Accent4">
    <w:name w:val="Medium List 1 Accent 4"/>
    <w:basedOn w:val="TableNormal"/>
    <w:uiPriority w:val="65"/>
    <w:semiHidden/>
    <w:rsid w:val="00B91810"/>
    <w:pPr>
      <w:spacing w:after="0" w:line="240" w:lineRule="auto"/>
    </w:pPr>
    <w:tblPr>
      <w:tblStyleRowBandSize w:val="1"/>
      <w:tblStyleColBandSize w:val="1"/>
      <w:tblBorders>
        <w:top w:val="single" w:sz="8" w:space="0" w:color="F8982D" w:themeColor="accent4"/>
        <w:bottom w:val="single" w:sz="8" w:space="0" w:color="F8982D" w:themeColor="accent4"/>
      </w:tblBorders>
    </w:tblPr>
    <w:tblStylePr w:type="firstRow">
      <w:rPr>
        <w:rFonts w:asciiTheme="majorHAnsi" w:eastAsiaTheme="majorEastAsia" w:hAnsiTheme="majorHAnsi" w:cstheme="majorBidi"/>
      </w:rPr>
      <w:tblPr/>
      <w:tcPr>
        <w:tcBorders>
          <w:top w:val="nil"/>
          <w:bottom w:val="single" w:sz="8" w:space="0" w:color="F8982D" w:themeColor="accent4"/>
        </w:tcBorders>
      </w:tcPr>
    </w:tblStylePr>
    <w:tblStylePr w:type="lastRow">
      <w:rPr>
        <w:b/>
        <w:bCs/>
        <w:color w:val="AE1031" w:themeColor="text2"/>
      </w:rPr>
      <w:tblPr/>
      <w:tcPr>
        <w:tcBorders>
          <w:top w:val="single" w:sz="8" w:space="0" w:color="F8982D" w:themeColor="accent4"/>
          <w:bottom w:val="single" w:sz="8" w:space="0" w:color="F8982D" w:themeColor="accent4"/>
        </w:tcBorders>
      </w:tcPr>
    </w:tblStylePr>
    <w:tblStylePr w:type="firstCol">
      <w:rPr>
        <w:b/>
        <w:bCs/>
      </w:rPr>
    </w:tblStylePr>
    <w:tblStylePr w:type="lastCol">
      <w:rPr>
        <w:b/>
        <w:bCs/>
      </w:rPr>
      <w:tblPr/>
      <w:tcPr>
        <w:tcBorders>
          <w:top w:val="single" w:sz="8" w:space="0" w:color="F8982D" w:themeColor="accent4"/>
          <w:bottom w:val="single" w:sz="8" w:space="0" w:color="F8982D" w:themeColor="accent4"/>
        </w:tcBorders>
      </w:tcPr>
    </w:tblStylePr>
    <w:tblStylePr w:type="band1Vert">
      <w:tblPr/>
      <w:tcPr>
        <w:shd w:val="clear" w:color="auto" w:fill="FDE5CB" w:themeFill="accent4" w:themeFillTint="3F"/>
      </w:tcPr>
    </w:tblStylePr>
    <w:tblStylePr w:type="band1Horz">
      <w:tblPr/>
      <w:tcPr>
        <w:shd w:val="clear" w:color="auto" w:fill="FDE5CB" w:themeFill="accent4" w:themeFillTint="3F"/>
      </w:tcPr>
    </w:tblStylePr>
  </w:style>
  <w:style w:type="table" w:styleId="MediumList1-Accent5">
    <w:name w:val="Medium List 1 Accent 5"/>
    <w:basedOn w:val="TableNormal"/>
    <w:uiPriority w:val="65"/>
    <w:semiHidden/>
    <w:rsid w:val="00B91810"/>
    <w:pPr>
      <w:spacing w:after="0" w:line="240" w:lineRule="auto"/>
    </w:pPr>
    <w:tblPr>
      <w:tblStyleRowBandSize w:val="1"/>
      <w:tblStyleColBandSize w:val="1"/>
      <w:tblBorders>
        <w:top w:val="single" w:sz="8" w:space="0" w:color="369A98" w:themeColor="accent5"/>
        <w:bottom w:val="single" w:sz="8" w:space="0" w:color="369A98" w:themeColor="accent5"/>
      </w:tblBorders>
    </w:tblPr>
    <w:tblStylePr w:type="firstRow">
      <w:rPr>
        <w:rFonts w:asciiTheme="majorHAnsi" w:eastAsiaTheme="majorEastAsia" w:hAnsiTheme="majorHAnsi" w:cstheme="majorBidi"/>
      </w:rPr>
      <w:tblPr/>
      <w:tcPr>
        <w:tcBorders>
          <w:top w:val="nil"/>
          <w:bottom w:val="single" w:sz="8" w:space="0" w:color="369A98" w:themeColor="accent5"/>
        </w:tcBorders>
      </w:tcPr>
    </w:tblStylePr>
    <w:tblStylePr w:type="lastRow">
      <w:rPr>
        <w:b/>
        <w:bCs/>
        <w:color w:val="AE1031" w:themeColor="text2"/>
      </w:rPr>
      <w:tblPr/>
      <w:tcPr>
        <w:tcBorders>
          <w:top w:val="single" w:sz="8" w:space="0" w:color="369A98" w:themeColor="accent5"/>
          <w:bottom w:val="single" w:sz="8" w:space="0" w:color="369A98" w:themeColor="accent5"/>
        </w:tcBorders>
      </w:tcPr>
    </w:tblStylePr>
    <w:tblStylePr w:type="firstCol">
      <w:rPr>
        <w:b/>
        <w:bCs/>
      </w:rPr>
    </w:tblStylePr>
    <w:tblStylePr w:type="lastCol">
      <w:rPr>
        <w:b/>
        <w:bCs/>
      </w:rPr>
      <w:tblPr/>
      <w:tcPr>
        <w:tcBorders>
          <w:top w:val="single" w:sz="8" w:space="0" w:color="369A98" w:themeColor="accent5"/>
          <w:bottom w:val="single" w:sz="8" w:space="0" w:color="369A98" w:themeColor="accent5"/>
        </w:tcBorders>
      </w:tcPr>
    </w:tblStylePr>
    <w:tblStylePr w:type="band1Vert">
      <w:tblPr/>
      <w:tcPr>
        <w:shd w:val="clear" w:color="auto" w:fill="C7EBEA" w:themeFill="accent5" w:themeFillTint="3F"/>
      </w:tcPr>
    </w:tblStylePr>
    <w:tblStylePr w:type="band1Horz">
      <w:tblPr/>
      <w:tcPr>
        <w:shd w:val="clear" w:color="auto" w:fill="C7EBEA" w:themeFill="accent5" w:themeFillTint="3F"/>
      </w:tcPr>
    </w:tblStylePr>
  </w:style>
  <w:style w:type="table" w:styleId="MediumList1-Accent6">
    <w:name w:val="Medium List 1 Accent 6"/>
    <w:basedOn w:val="TableNormal"/>
    <w:uiPriority w:val="65"/>
    <w:semiHidden/>
    <w:rsid w:val="00B91810"/>
    <w:pPr>
      <w:spacing w:after="0" w:line="240" w:lineRule="auto"/>
    </w:pPr>
    <w:tblPr>
      <w:tblStyleRowBandSize w:val="1"/>
      <w:tblStyleColBandSize w:val="1"/>
      <w:tblBorders>
        <w:top w:val="single" w:sz="8" w:space="0" w:color="EFF6FA" w:themeColor="accent6"/>
        <w:bottom w:val="single" w:sz="8" w:space="0" w:color="EFF6FA" w:themeColor="accent6"/>
      </w:tblBorders>
    </w:tblPr>
    <w:tblStylePr w:type="firstRow">
      <w:rPr>
        <w:rFonts w:asciiTheme="majorHAnsi" w:eastAsiaTheme="majorEastAsia" w:hAnsiTheme="majorHAnsi" w:cstheme="majorBidi"/>
      </w:rPr>
      <w:tblPr/>
      <w:tcPr>
        <w:tcBorders>
          <w:top w:val="nil"/>
          <w:bottom w:val="single" w:sz="8" w:space="0" w:color="EFF6FA" w:themeColor="accent6"/>
        </w:tcBorders>
      </w:tcPr>
    </w:tblStylePr>
    <w:tblStylePr w:type="lastRow">
      <w:rPr>
        <w:b/>
        <w:bCs/>
        <w:color w:val="AE1031" w:themeColor="text2"/>
      </w:rPr>
      <w:tblPr/>
      <w:tcPr>
        <w:tcBorders>
          <w:top w:val="single" w:sz="8" w:space="0" w:color="EFF6FA" w:themeColor="accent6"/>
          <w:bottom w:val="single" w:sz="8" w:space="0" w:color="EFF6FA" w:themeColor="accent6"/>
        </w:tcBorders>
      </w:tcPr>
    </w:tblStylePr>
    <w:tblStylePr w:type="firstCol">
      <w:rPr>
        <w:b/>
        <w:bCs/>
      </w:rPr>
    </w:tblStylePr>
    <w:tblStylePr w:type="lastCol">
      <w:rPr>
        <w:b/>
        <w:bCs/>
      </w:rPr>
      <w:tblPr/>
      <w:tcPr>
        <w:tcBorders>
          <w:top w:val="single" w:sz="8" w:space="0" w:color="EFF6FA" w:themeColor="accent6"/>
          <w:bottom w:val="single" w:sz="8" w:space="0" w:color="EFF6FA" w:themeColor="accent6"/>
        </w:tcBorders>
      </w:tcPr>
    </w:tblStylePr>
    <w:tblStylePr w:type="band1Vert">
      <w:tblPr/>
      <w:tcPr>
        <w:shd w:val="clear" w:color="auto" w:fill="FAFCFD" w:themeFill="accent6" w:themeFillTint="3F"/>
      </w:tcPr>
    </w:tblStylePr>
    <w:tblStylePr w:type="band1Horz">
      <w:tblPr/>
      <w:tcPr>
        <w:shd w:val="clear" w:color="auto" w:fill="FAFCFD" w:themeFill="accent6" w:themeFillTint="3F"/>
      </w:tcPr>
    </w:tblStylePr>
  </w:style>
  <w:style w:type="table" w:styleId="MediumList2">
    <w:name w:val="Medium Lis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86B3CB" w:themeColor="accent1"/>
        <w:left w:val="single" w:sz="8" w:space="0" w:color="86B3CB" w:themeColor="accent1"/>
        <w:bottom w:val="single" w:sz="8" w:space="0" w:color="86B3CB" w:themeColor="accent1"/>
        <w:right w:val="single" w:sz="8" w:space="0" w:color="86B3CB" w:themeColor="accent1"/>
      </w:tblBorders>
    </w:tblPr>
    <w:tblStylePr w:type="firstRow">
      <w:rPr>
        <w:sz w:val="24"/>
        <w:szCs w:val="24"/>
      </w:rPr>
      <w:tblPr/>
      <w:tcPr>
        <w:tcBorders>
          <w:top w:val="nil"/>
          <w:left w:val="nil"/>
          <w:bottom w:val="single" w:sz="24" w:space="0" w:color="86B3CB" w:themeColor="accent1"/>
          <w:right w:val="nil"/>
          <w:insideH w:val="nil"/>
          <w:insideV w:val="nil"/>
        </w:tcBorders>
        <w:shd w:val="clear" w:color="auto" w:fill="FFFFFF" w:themeFill="background1"/>
      </w:tcPr>
    </w:tblStylePr>
    <w:tblStylePr w:type="lastRow">
      <w:tblPr/>
      <w:tcPr>
        <w:tcBorders>
          <w:top w:val="single" w:sz="8" w:space="0" w:color="86B3C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3CB" w:themeColor="accent1"/>
          <w:insideH w:val="nil"/>
          <w:insideV w:val="nil"/>
        </w:tcBorders>
        <w:shd w:val="clear" w:color="auto" w:fill="FFFFFF" w:themeFill="background1"/>
      </w:tcPr>
    </w:tblStylePr>
    <w:tblStylePr w:type="lastCol">
      <w:tblPr/>
      <w:tcPr>
        <w:tcBorders>
          <w:top w:val="nil"/>
          <w:left w:val="single" w:sz="8" w:space="0" w:color="86B3C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CF2" w:themeFill="accent1" w:themeFillTint="3F"/>
      </w:tcPr>
    </w:tblStylePr>
    <w:tblStylePr w:type="band1Horz">
      <w:tblPr/>
      <w:tcPr>
        <w:tcBorders>
          <w:top w:val="nil"/>
          <w:bottom w:val="nil"/>
          <w:insideH w:val="nil"/>
          <w:insideV w:val="nil"/>
        </w:tcBorders>
        <w:shd w:val="clear" w:color="auto" w:fill="E0EC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926899" w:themeColor="accent2"/>
        <w:left w:val="single" w:sz="8" w:space="0" w:color="926899" w:themeColor="accent2"/>
        <w:bottom w:val="single" w:sz="8" w:space="0" w:color="926899" w:themeColor="accent2"/>
        <w:right w:val="single" w:sz="8" w:space="0" w:color="926899" w:themeColor="accent2"/>
      </w:tblBorders>
    </w:tblPr>
    <w:tblStylePr w:type="firstRow">
      <w:rPr>
        <w:sz w:val="24"/>
        <w:szCs w:val="24"/>
      </w:rPr>
      <w:tblPr/>
      <w:tcPr>
        <w:tcBorders>
          <w:top w:val="nil"/>
          <w:left w:val="nil"/>
          <w:bottom w:val="single" w:sz="24" w:space="0" w:color="926899" w:themeColor="accent2"/>
          <w:right w:val="nil"/>
          <w:insideH w:val="nil"/>
          <w:insideV w:val="nil"/>
        </w:tcBorders>
        <w:shd w:val="clear" w:color="auto" w:fill="FFFFFF" w:themeFill="background1"/>
      </w:tcPr>
    </w:tblStylePr>
    <w:tblStylePr w:type="lastRow">
      <w:tblPr/>
      <w:tcPr>
        <w:tcBorders>
          <w:top w:val="single" w:sz="8" w:space="0" w:color="92689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6899" w:themeColor="accent2"/>
          <w:insideH w:val="nil"/>
          <w:insideV w:val="nil"/>
        </w:tcBorders>
        <w:shd w:val="clear" w:color="auto" w:fill="FFFFFF" w:themeFill="background1"/>
      </w:tcPr>
    </w:tblStylePr>
    <w:tblStylePr w:type="lastCol">
      <w:tblPr/>
      <w:tcPr>
        <w:tcBorders>
          <w:top w:val="nil"/>
          <w:left w:val="single" w:sz="8" w:space="0" w:color="92689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9E5" w:themeFill="accent2" w:themeFillTint="3F"/>
      </w:tcPr>
    </w:tblStylePr>
    <w:tblStylePr w:type="band1Horz">
      <w:tblPr/>
      <w:tcPr>
        <w:tcBorders>
          <w:top w:val="nil"/>
          <w:bottom w:val="nil"/>
          <w:insideH w:val="nil"/>
          <w:insideV w:val="nil"/>
        </w:tcBorders>
        <w:shd w:val="clear" w:color="auto" w:fill="E4D9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7DC574" w:themeColor="accent3"/>
        <w:left w:val="single" w:sz="8" w:space="0" w:color="7DC574" w:themeColor="accent3"/>
        <w:bottom w:val="single" w:sz="8" w:space="0" w:color="7DC574" w:themeColor="accent3"/>
        <w:right w:val="single" w:sz="8" w:space="0" w:color="7DC574" w:themeColor="accent3"/>
      </w:tblBorders>
    </w:tblPr>
    <w:tblStylePr w:type="firstRow">
      <w:rPr>
        <w:sz w:val="24"/>
        <w:szCs w:val="24"/>
      </w:rPr>
      <w:tblPr/>
      <w:tcPr>
        <w:tcBorders>
          <w:top w:val="nil"/>
          <w:left w:val="nil"/>
          <w:bottom w:val="single" w:sz="24" w:space="0" w:color="7DC574" w:themeColor="accent3"/>
          <w:right w:val="nil"/>
          <w:insideH w:val="nil"/>
          <w:insideV w:val="nil"/>
        </w:tcBorders>
        <w:shd w:val="clear" w:color="auto" w:fill="FFFFFF" w:themeFill="background1"/>
      </w:tcPr>
    </w:tblStylePr>
    <w:tblStylePr w:type="lastRow">
      <w:tblPr/>
      <w:tcPr>
        <w:tcBorders>
          <w:top w:val="single" w:sz="8" w:space="0" w:color="7DC57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C574" w:themeColor="accent3"/>
          <w:insideH w:val="nil"/>
          <w:insideV w:val="nil"/>
        </w:tcBorders>
        <w:shd w:val="clear" w:color="auto" w:fill="FFFFFF" w:themeFill="background1"/>
      </w:tcPr>
    </w:tblStylePr>
    <w:tblStylePr w:type="lastCol">
      <w:tblPr/>
      <w:tcPr>
        <w:tcBorders>
          <w:top w:val="nil"/>
          <w:left w:val="single" w:sz="8" w:space="0" w:color="7DC57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0DC" w:themeFill="accent3" w:themeFillTint="3F"/>
      </w:tcPr>
    </w:tblStylePr>
    <w:tblStylePr w:type="band1Horz">
      <w:tblPr/>
      <w:tcPr>
        <w:tcBorders>
          <w:top w:val="nil"/>
          <w:bottom w:val="nil"/>
          <w:insideH w:val="nil"/>
          <w:insideV w:val="nil"/>
        </w:tcBorders>
        <w:shd w:val="clear" w:color="auto" w:fill="DEF0D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F8982D" w:themeColor="accent4"/>
        <w:left w:val="single" w:sz="8" w:space="0" w:color="F8982D" w:themeColor="accent4"/>
        <w:bottom w:val="single" w:sz="8" w:space="0" w:color="F8982D" w:themeColor="accent4"/>
        <w:right w:val="single" w:sz="8" w:space="0" w:color="F8982D" w:themeColor="accent4"/>
      </w:tblBorders>
    </w:tblPr>
    <w:tblStylePr w:type="firstRow">
      <w:rPr>
        <w:sz w:val="24"/>
        <w:szCs w:val="24"/>
      </w:rPr>
      <w:tblPr/>
      <w:tcPr>
        <w:tcBorders>
          <w:top w:val="nil"/>
          <w:left w:val="nil"/>
          <w:bottom w:val="single" w:sz="24" w:space="0" w:color="F8982D" w:themeColor="accent4"/>
          <w:right w:val="nil"/>
          <w:insideH w:val="nil"/>
          <w:insideV w:val="nil"/>
        </w:tcBorders>
        <w:shd w:val="clear" w:color="auto" w:fill="FFFFFF" w:themeFill="background1"/>
      </w:tcPr>
    </w:tblStylePr>
    <w:tblStylePr w:type="lastRow">
      <w:tblPr/>
      <w:tcPr>
        <w:tcBorders>
          <w:top w:val="single" w:sz="8" w:space="0" w:color="F8982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82D" w:themeColor="accent4"/>
          <w:insideH w:val="nil"/>
          <w:insideV w:val="nil"/>
        </w:tcBorders>
        <w:shd w:val="clear" w:color="auto" w:fill="FFFFFF" w:themeFill="background1"/>
      </w:tcPr>
    </w:tblStylePr>
    <w:tblStylePr w:type="lastCol">
      <w:tblPr/>
      <w:tcPr>
        <w:tcBorders>
          <w:top w:val="nil"/>
          <w:left w:val="single" w:sz="8" w:space="0" w:color="F8982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B" w:themeFill="accent4" w:themeFillTint="3F"/>
      </w:tcPr>
    </w:tblStylePr>
    <w:tblStylePr w:type="band1Horz">
      <w:tblPr/>
      <w:tcPr>
        <w:tcBorders>
          <w:top w:val="nil"/>
          <w:bottom w:val="nil"/>
          <w:insideH w:val="nil"/>
          <w:insideV w:val="nil"/>
        </w:tcBorders>
        <w:shd w:val="clear" w:color="auto" w:fill="FD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369A98" w:themeColor="accent5"/>
        <w:left w:val="single" w:sz="8" w:space="0" w:color="369A98" w:themeColor="accent5"/>
        <w:bottom w:val="single" w:sz="8" w:space="0" w:color="369A98" w:themeColor="accent5"/>
        <w:right w:val="single" w:sz="8" w:space="0" w:color="369A98" w:themeColor="accent5"/>
      </w:tblBorders>
    </w:tblPr>
    <w:tblStylePr w:type="firstRow">
      <w:rPr>
        <w:sz w:val="24"/>
        <w:szCs w:val="24"/>
      </w:rPr>
      <w:tblPr/>
      <w:tcPr>
        <w:tcBorders>
          <w:top w:val="nil"/>
          <w:left w:val="nil"/>
          <w:bottom w:val="single" w:sz="24" w:space="0" w:color="369A98" w:themeColor="accent5"/>
          <w:right w:val="nil"/>
          <w:insideH w:val="nil"/>
          <w:insideV w:val="nil"/>
        </w:tcBorders>
        <w:shd w:val="clear" w:color="auto" w:fill="FFFFFF" w:themeFill="background1"/>
      </w:tcPr>
    </w:tblStylePr>
    <w:tblStylePr w:type="lastRow">
      <w:tblPr/>
      <w:tcPr>
        <w:tcBorders>
          <w:top w:val="single" w:sz="8" w:space="0" w:color="369A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9A98" w:themeColor="accent5"/>
          <w:insideH w:val="nil"/>
          <w:insideV w:val="nil"/>
        </w:tcBorders>
        <w:shd w:val="clear" w:color="auto" w:fill="FFFFFF" w:themeFill="background1"/>
      </w:tcPr>
    </w:tblStylePr>
    <w:tblStylePr w:type="lastCol">
      <w:tblPr/>
      <w:tcPr>
        <w:tcBorders>
          <w:top w:val="nil"/>
          <w:left w:val="single" w:sz="8" w:space="0" w:color="369A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EBEA" w:themeFill="accent5" w:themeFillTint="3F"/>
      </w:tcPr>
    </w:tblStylePr>
    <w:tblStylePr w:type="band1Horz">
      <w:tblPr/>
      <w:tcPr>
        <w:tcBorders>
          <w:top w:val="nil"/>
          <w:bottom w:val="nil"/>
          <w:insideH w:val="nil"/>
          <w:insideV w:val="nil"/>
        </w:tcBorders>
        <w:shd w:val="clear" w:color="auto" w:fill="C7EB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EFF6FA" w:themeColor="accent6"/>
        <w:left w:val="single" w:sz="8" w:space="0" w:color="EFF6FA" w:themeColor="accent6"/>
        <w:bottom w:val="single" w:sz="8" w:space="0" w:color="EFF6FA" w:themeColor="accent6"/>
        <w:right w:val="single" w:sz="8" w:space="0" w:color="EFF6FA" w:themeColor="accent6"/>
      </w:tblBorders>
    </w:tblPr>
    <w:tblStylePr w:type="firstRow">
      <w:rPr>
        <w:sz w:val="24"/>
        <w:szCs w:val="24"/>
      </w:rPr>
      <w:tblPr/>
      <w:tcPr>
        <w:tcBorders>
          <w:top w:val="nil"/>
          <w:left w:val="nil"/>
          <w:bottom w:val="single" w:sz="24" w:space="0" w:color="EFF6FA" w:themeColor="accent6"/>
          <w:right w:val="nil"/>
          <w:insideH w:val="nil"/>
          <w:insideV w:val="nil"/>
        </w:tcBorders>
        <w:shd w:val="clear" w:color="auto" w:fill="FFFFFF" w:themeFill="background1"/>
      </w:tcPr>
    </w:tblStylePr>
    <w:tblStylePr w:type="lastRow">
      <w:tblPr/>
      <w:tcPr>
        <w:tcBorders>
          <w:top w:val="single" w:sz="8" w:space="0" w:color="EFF6F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F6FA" w:themeColor="accent6"/>
          <w:insideH w:val="nil"/>
          <w:insideV w:val="nil"/>
        </w:tcBorders>
        <w:shd w:val="clear" w:color="auto" w:fill="FFFFFF" w:themeFill="background1"/>
      </w:tcPr>
    </w:tblStylePr>
    <w:tblStylePr w:type="lastCol">
      <w:tblPr/>
      <w:tcPr>
        <w:tcBorders>
          <w:top w:val="nil"/>
          <w:left w:val="single" w:sz="8" w:space="0" w:color="EFF6F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D" w:themeFill="accent6" w:themeFillTint="3F"/>
      </w:tcPr>
    </w:tblStylePr>
    <w:tblStylePr w:type="band1Horz">
      <w:tblPr/>
      <w:tcPr>
        <w:tcBorders>
          <w:top w:val="nil"/>
          <w:bottom w:val="nil"/>
          <w:insideH w:val="nil"/>
          <w:insideV w:val="nil"/>
        </w:tcBorders>
        <w:shd w:val="clear" w:color="auto" w:fill="FAFC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9181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91810"/>
    <w:pPr>
      <w:spacing w:after="0" w:line="240" w:lineRule="auto"/>
    </w:pPr>
    <w:tblPr>
      <w:tblStyleRowBandSize w:val="1"/>
      <w:tblStyleColBandSize w:val="1"/>
      <w:tblBorders>
        <w:top w:val="single" w:sz="8" w:space="0" w:color="A4C6D8" w:themeColor="accent1" w:themeTint="BF"/>
        <w:left w:val="single" w:sz="8" w:space="0" w:color="A4C6D8" w:themeColor="accent1" w:themeTint="BF"/>
        <w:bottom w:val="single" w:sz="8" w:space="0" w:color="A4C6D8" w:themeColor="accent1" w:themeTint="BF"/>
        <w:right w:val="single" w:sz="8" w:space="0" w:color="A4C6D8" w:themeColor="accent1" w:themeTint="BF"/>
        <w:insideH w:val="single" w:sz="8" w:space="0" w:color="A4C6D8" w:themeColor="accent1" w:themeTint="BF"/>
      </w:tblBorders>
    </w:tblPr>
    <w:tblStylePr w:type="firstRow">
      <w:pPr>
        <w:spacing w:before="0" w:after="0" w:line="240" w:lineRule="auto"/>
      </w:pPr>
      <w:rPr>
        <w:b/>
        <w:bCs/>
        <w:color w:val="FFFFFF" w:themeColor="background1"/>
      </w:rPr>
      <w:tblPr/>
      <w:tcPr>
        <w:tcBorders>
          <w:top w:val="single" w:sz="8" w:space="0" w:color="A4C6D8" w:themeColor="accent1" w:themeTint="BF"/>
          <w:left w:val="single" w:sz="8" w:space="0" w:color="A4C6D8" w:themeColor="accent1" w:themeTint="BF"/>
          <w:bottom w:val="single" w:sz="8" w:space="0" w:color="A4C6D8" w:themeColor="accent1" w:themeTint="BF"/>
          <w:right w:val="single" w:sz="8" w:space="0" w:color="A4C6D8" w:themeColor="accent1" w:themeTint="BF"/>
          <w:insideH w:val="nil"/>
          <w:insideV w:val="nil"/>
        </w:tcBorders>
        <w:shd w:val="clear" w:color="auto" w:fill="86B3CB" w:themeFill="accent1"/>
      </w:tcPr>
    </w:tblStylePr>
    <w:tblStylePr w:type="lastRow">
      <w:pPr>
        <w:spacing w:before="0" w:after="0" w:line="240" w:lineRule="auto"/>
      </w:pPr>
      <w:rPr>
        <w:b/>
        <w:bCs/>
      </w:rPr>
      <w:tblPr/>
      <w:tcPr>
        <w:tcBorders>
          <w:top w:val="double" w:sz="6" w:space="0" w:color="A4C6D8" w:themeColor="accent1" w:themeTint="BF"/>
          <w:left w:val="single" w:sz="8" w:space="0" w:color="A4C6D8" w:themeColor="accent1" w:themeTint="BF"/>
          <w:bottom w:val="single" w:sz="8" w:space="0" w:color="A4C6D8" w:themeColor="accent1" w:themeTint="BF"/>
          <w:right w:val="single" w:sz="8" w:space="0" w:color="A4C6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E0ECF2" w:themeFill="accent1" w:themeFillTint="3F"/>
      </w:tcPr>
    </w:tblStylePr>
    <w:tblStylePr w:type="band1Horz">
      <w:tblPr/>
      <w:tcPr>
        <w:tcBorders>
          <w:insideH w:val="nil"/>
          <w:insideV w:val="nil"/>
        </w:tcBorders>
        <w:shd w:val="clear" w:color="auto" w:fill="E0EC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91810"/>
    <w:pPr>
      <w:spacing w:after="0" w:line="240" w:lineRule="auto"/>
    </w:pPr>
    <w:tblPr>
      <w:tblStyleRowBandSize w:val="1"/>
      <w:tblStyleColBandSize w:val="1"/>
      <w:tblBorders>
        <w:top w:val="single" w:sz="8" w:space="0" w:color="AD8DB2" w:themeColor="accent2" w:themeTint="BF"/>
        <w:left w:val="single" w:sz="8" w:space="0" w:color="AD8DB2" w:themeColor="accent2" w:themeTint="BF"/>
        <w:bottom w:val="single" w:sz="8" w:space="0" w:color="AD8DB2" w:themeColor="accent2" w:themeTint="BF"/>
        <w:right w:val="single" w:sz="8" w:space="0" w:color="AD8DB2" w:themeColor="accent2" w:themeTint="BF"/>
        <w:insideH w:val="single" w:sz="8" w:space="0" w:color="AD8DB2" w:themeColor="accent2" w:themeTint="BF"/>
      </w:tblBorders>
    </w:tblPr>
    <w:tblStylePr w:type="firstRow">
      <w:pPr>
        <w:spacing w:before="0" w:after="0" w:line="240" w:lineRule="auto"/>
      </w:pPr>
      <w:rPr>
        <w:b/>
        <w:bCs/>
        <w:color w:val="FFFFFF" w:themeColor="background1"/>
      </w:rPr>
      <w:tblPr/>
      <w:tcPr>
        <w:tcBorders>
          <w:top w:val="single" w:sz="8" w:space="0" w:color="AD8DB2" w:themeColor="accent2" w:themeTint="BF"/>
          <w:left w:val="single" w:sz="8" w:space="0" w:color="AD8DB2" w:themeColor="accent2" w:themeTint="BF"/>
          <w:bottom w:val="single" w:sz="8" w:space="0" w:color="AD8DB2" w:themeColor="accent2" w:themeTint="BF"/>
          <w:right w:val="single" w:sz="8" w:space="0" w:color="AD8DB2" w:themeColor="accent2" w:themeTint="BF"/>
          <w:insideH w:val="nil"/>
          <w:insideV w:val="nil"/>
        </w:tcBorders>
        <w:shd w:val="clear" w:color="auto" w:fill="926899" w:themeFill="accent2"/>
      </w:tcPr>
    </w:tblStylePr>
    <w:tblStylePr w:type="lastRow">
      <w:pPr>
        <w:spacing w:before="0" w:after="0" w:line="240" w:lineRule="auto"/>
      </w:pPr>
      <w:rPr>
        <w:b/>
        <w:bCs/>
      </w:rPr>
      <w:tblPr/>
      <w:tcPr>
        <w:tcBorders>
          <w:top w:val="double" w:sz="6" w:space="0" w:color="AD8DB2" w:themeColor="accent2" w:themeTint="BF"/>
          <w:left w:val="single" w:sz="8" w:space="0" w:color="AD8DB2" w:themeColor="accent2" w:themeTint="BF"/>
          <w:bottom w:val="single" w:sz="8" w:space="0" w:color="AD8DB2" w:themeColor="accent2" w:themeTint="BF"/>
          <w:right w:val="single" w:sz="8" w:space="0" w:color="AD8DB2"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D9E5" w:themeFill="accent2" w:themeFillTint="3F"/>
      </w:tcPr>
    </w:tblStylePr>
    <w:tblStylePr w:type="band1Horz">
      <w:tblPr/>
      <w:tcPr>
        <w:tcBorders>
          <w:insideH w:val="nil"/>
          <w:insideV w:val="nil"/>
        </w:tcBorders>
        <w:shd w:val="clear" w:color="auto" w:fill="E4D9E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91810"/>
    <w:pPr>
      <w:spacing w:after="0" w:line="240" w:lineRule="auto"/>
    </w:pPr>
    <w:tblPr>
      <w:tblStyleRowBandSize w:val="1"/>
      <w:tblStyleColBandSize w:val="1"/>
      <w:tblBorders>
        <w:top w:val="single" w:sz="8" w:space="0" w:color="9DD396" w:themeColor="accent3" w:themeTint="BF"/>
        <w:left w:val="single" w:sz="8" w:space="0" w:color="9DD396" w:themeColor="accent3" w:themeTint="BF"/>
        <w:bottom w:val="single" w:sz="8" w:space="0" w:color="9DD396" w:themeColor="accent3" w:themeTint="BF"/>
        <w:right w:val="single" w:sz="8" w:space="0" w:color="9DD396" w:themeColor="accent3" w:themeTint="BF"/>
        <w:insideH w:val="single" w:sz="8" w:space="0" w:color="9DD396" w:themeColor="accent3" w:themeTint="BF"/>
      </w:tblBorders>
    </w:tblPr>
    <w:tblStylePr w:type="firstRow">
      <w:pPr>
        <w:spacing w:before="0" w:after="0" w:line="240" w:lineRule="auto"/>
      </w:pPr>
      <w:rPr>
        <w:b/>
        <w:bCs/>
        <w:color w:val="FFFFFF" w:themeColor="background1"/>
      </w:rPr>
      <w:tblPr/>
      <w:tcPr>
        <w:tcBorders>
          <w:top w:val="single" w:sz="8" w:space="0" w:color="9DD396" w:themeColor="accent3" w:themeTint="BF"/>
          <w:left w:val="single" w:sz="8" w:space="0" w:color="9DD396" w:themeColor="accent3" w:themeTint="BF"/>
          <w:bottom w:val="single" w:sz="8" w:space="0" w:color="9DD396" w:themeColor="accent3" w:themeTint="BF"/>
          <w:right w:val="single" w:sz="8" w:space="0" w:color="9DD396" w:themeColor="accent3" w:themeTint="BF"/>
          <w:insideH w:val="nil"/>
          <w:insideV w:val="nil"/>
        </w:tcBorders>
        <w:shd w:val="clear" w:color="auto" w:fill="7DC574" w:themeFill="accent3"/>
      </w:tcPr>
    </w:tblStylePr>
    <w:tblStylePr w:type="lastRow">
      <w:pPr>
        <w:spacing w:before="0" w:after="0" w:line="240" w:lineRule="auto"/>
      </w:pPr>
      <w:rPr>
        <w:b/>
        <w:bCs/>
      </w:rPr>
      <w:tblPr/>
      <w:tcPr>
        <w:tcBorders>
          <w:top w:val="double" w:sz="6" w:space="0" w:color="9DD396" w:themeColor="accent3" w:themeTint="BF"/>
          <w:left w:val="single" w:sz="8" w:space="0" w:color="9DD396" w:themeColor="accent3" w:themeTint="BF"/>
          <w:bottom w:val="single" w:sz="8" w:space="0" w:color="9DD396" w:themeColor="accent3" w:themeTint="BF"/>
          <w:right w:val="single" w:sz="8" w:space="0" w:color="9DD39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EF0DC" w:themeFill="accent3" w:themeFillTint="3F"/>
      </w:tcPr>
    </w:tblStylePr>
    <w:tblStylePr w:type="band1Horz">
      <w:tblPr/>
      <w:tcPr>
        <w:tcBorders>
          <w:insideH w:val="nil"/>
          <w:insideV w:val="nil"/>
        </w:tcBorders>
        <w:shd w:val="clear" w:color="auto" w:fill="DEF0D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91810"/>
    <w:pPr>
      <w:spacing w:after="0" w:line="240" w:lineRule="auto"/>
    </w:pPr>
    <w:tblPr>
      <w:tblStyleRowBandSize w:val="1"/>
      <w:tblStyleColBandSize w:val="1"/>
      <w:tblBorders>
        <w:top w:val="single" w:sz="8" w:space="0" w:color="F9B161" w:themeColor="accent4" w:themeTint="BF"/>
        <w:left w:val="single" w:sz="8" w:space="0" w:color="F9B161" w:themeColor="accent4" w:themeTint="BF"/>
        <w:bottom w:val="single" w:sz="8" w:space="0" w:color="F9B161" w:themeColor="accent4" w:themeTint="BF"/>
        <w:right w:val="single" w:sz="8" w:space="0" w:color="F9B161" w:themeColor="accent4" w:themeTint="BF"/>
        <w:insideH w:val="single" w:sz="8" w:space="0" w:color="F9B161" w:themeColor="accent4" w:themeTint="BF"/>
      </w:tblBorders>
    </w:tblPr>
    <w:tblStylePr w:type="firstRow">
      <w:pPr>
        <w:spacing w:before="0" w:after="0" w:line="240" w:lineRule="auto"/>
      </w:pPr>
      <w:rPr>
        <w:b/>
        <w:bCs/>
        <w:color w:val="FFFFFF" w:themeColor="background1"/>
      </w:rPr>
      <w:tblPr/>
      <w:tcPr>
        <w:tcBorders>
          <w:top w:val="single" w:sz="8" w:space="0" w:color="F9B161" w:themeColor="accent4" w:themeTint="BF"/>
          <w:left w:val="single" w:sz="8" w:space="0" w:color="F9B161" w:themeColor="accent4" w:themeTint="BF"/>
          <w:bottom w:val="single" w:sz="8" w:space="0" w:color="F9B161" w:themeColor="accent4" w:themeTint="BF"/>
          <w:right w:val="single" w:sz="8" w:space="0" w:color="F9B161" w:themeColor="accent4" w:themeTint="BF"/>
          <w:insideH w:val="nil"/>
          <w:insideV w:val="nil"/>
        </w:tcBorders>
        <w:shd w:val="clear" w:color="auto" w:fill="F8982D" w:themeFill="accent4"/>
      </w:tcPr>
    </w:tblStylePr>
    <w:tblStylePr w:type="lastRow">
      <w:pPr>
        <w:spacing w:before="0" w:after="0" w:line="240" w:lineRule="auto"/>
      </w:pPr>
      <w:rPr>
        <w:b/>
        <w:bCs/>
      </w:rPr>
      <w:tblPr/>
      <w:tcPr>
        <w:tcBorders>
          <w:top w:val="double" w:sz="6" w:space="0" w:color="F9B161" w:themeColor="accent4" w:themeTint="BF"/>
          <w:left w:val="single" w:sz="8" w:space="0" w:color="F9B161" w:themeColor="accent4" w:themeTint="BF"/>
          <w:bottom w:val="single" w:sz="8" w:space="0" w:color="F9B161" w:themeColor="accent4" w:themeTint="BF"/>
          <w:right w:val="single" w:sz="8" w:space="0" w:color="F9B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5CB" w:themeFill="accent4" w:themeFillTint="3F"/>
      </w:tcPr>
    </w:tblStylePr>
    <w:tblStylePr w:type="band1Horz">
      <w:tblPr/>
      <w:tcPr>
        <w:tcBorders>
          <w:insideH w:val="nil"/>
          <w:insideV w:val="nil"/>
        </w:tcBorders>
        <w:shd w:val="clear" w:color="auto" w:fill="FD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91810"/>
    <w:pPr>
      <w:spacing w:after="0" w:line="240" w:lineRule="auto"/>
    </w:pPr>
    <w:tblPr>
      <w:tblStyleRowBandSize w:val="1"/>
      <w:tblStyleColBandSize w:val="1"/>
      <w:tblBorders>
        <w:top w:val="single" w:sz="8" w:space="0" w:color="57C4C1" w:themeColor="accent5" w:themeTint="BF"/>
        <w:left w:val="single" w:sz="8" w:space="0" w:color="57C4C1" w:themeColor="accent5" w:themeTint="BF"/>
        <w:bottom w:val="single" w:sz="8" w:space="0" w:color="57C4C1" w:themeColor="accent5" w:themeTint="BF"/>
        <w:right w:val="single" w:sz="8" w:space="0" w:color="57C4C1" w:themeColor="accent5" w:themeTint="BF"/>
        <w:insideH w:val="single" w:sz="8" w:space="0" w:color="57C4C1" w:themeColor="accent5" w:themeTint="BF"/>
      </w:tblBorders>
    </w:tblPr>
    <w:tblStylePr w:type="firstRow">
      <w:pPr>
        <w:spacing w:before="0" w:after="0" w:line="240" w:lineRule="auto"/>
      </w:pPr>
      <w:rPr>
        <w:b/>
        <w:bCs/>
        <w:color w:val="FFFFFF" w:themeColor="background1"/>
      </w:rPr>
      <w:tblPr/>
      <w:tcPr>
        <w:tcBorders>
          <w:top w:val="single" w:sz="8" w:space="0" w:color="57C4C1" w:themeColor="accent5" w:themeTint="BF"/>
          <w:left w:val="single" w:sz="8" w:space="0" w:color="57C4C1" w:themeColor="accent5" w:themeTint="BF"/>
          <w:bottom w:val="single" w:sz="8" w:space="0" w:color="57C4C1" w:themeColor="accent5" w:themeTint="BF"/>
          <w:right w:val="single" w:sz="8" w:space="0" w:color="57C4C1" w:themeColor="accent5" w:themeTint="BF"/>
          <w:insideH w:val="nil"/>
          <w:insideV w:val="nil"/>
        </w:tcBorders>
        <w:shd w:val="clear" w:color="auto" w:fill="369A98" w:themeFill="accent5"/>
      </w:tcPr>
    </w:tblStylePr>
    <w:tblStylePr w:type="lastRow">
      <w:pPr>
        <w:spacing w:before="0" w:after="0" w:line="240" w:lineRule="auto"/>
      </w:pPr>
      <w:rPr>
        <w:b/>
        <w:bCs/>
      </w:rPr>
      <w:tblPr/>
      <w:tcPr>
        <w:tcBorders>
          <w:top w:val="double" w:sz="6" w:space="0" w:color="57C4C1" w:themeColor="accent5" w:themeTint="BF"/>
          <w:left w:val="single" w:sz="8" w:space="0" w:color="57C4C1" w:themeColor="accent5" w:themeTint="BF"/>
          <w:bottom w:val="single" w:sz="8" w:space="0" w:color="57C4C1" w:themeColor="accent5" w:themeTint="BF"/>
          <w:right w:val="single" w:sz="8" w:space="0" w:color="57C4C1" w:themeColor="accent5" w:themeTint="BF"/>
          <w:insideH w:val="nil"/>
          <w:insideV w:val="nil"/>
        </w:tcBorders>
      </w:tcPr>
    </w:tblStylePr>
    <w:tblStylePr w:type="firstCol">
      <w:rPr>
        <w:b/>
        <w:bCs/>
      </w:rPr>
    </w:tblStylePr>
    <w:tblStylePr w:type="lastCol">
      <w:rPr>
        <w:b/>
        <w:bCs/>
      </w:rPr>
    </w:tblStylePr>
    <w:tblStylePr w:type="band1Vert">
      <w:tblPr/>
      <w:tcPr>
        <w:shd w:val="clear" w:color="auto" w:fill="C7EBEA" w:themeFill="accent5" w:themeFillTint="3F"/>
      </w:tcPr>
    </w:tblStylePr>
    <w:tblStylePr w:type="band1Horz">
      <w:tblPr/>
      <w:tcPr>
        <w:tcBorders>
          <w:insideH w:val="nil"/>
          <w:insideV w:val="nil"/>
        </w:tcBorders>
        <w:shd w:val="clear" w:color="auto" w:fill="C7EB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91810"/>
    <w:pPr>
      <w:spacing w:after="0" w:line="240" w:lineRule="auto"/>
    </w:pPr>
    <w:tblPr>
      <w:tblStyleRowBandSize w:val="1"/>
      <w:tblStyleColBandSize w:val="1"/>
      <w:tblBorders>
        <w:top w:val="single" w:sz="8" w:space="0" w:color="F2F8FB" w:themeColor="accent6" w:themeTint="BF"/>
        <w:left w:val="single" w:sz="8" w:space="0" w:color="F2F8FB" w:themeColor="accent6" w:themeTint="BF"/>
        <w:bottom w:val="single" w:sz="8" w:space="0" w:color="F2F8FB" w:themeColor="accent6" w:themeTint="BF"/>
        <w:right w:val="single" w:sz="8" w:space="0" w:color="F2F8FB" w:themeColor="accent6" w:themeTint="BF"/>
        <w:insideH w:val="single" w:sz="8" w:space="0" w:color="F2F8FB" w:themeColor="accent6" w:themeTint="BF"/>
      </w:tblBorders>
    </w:tblPr>
    <w:tblStylePr w:type="firstRow">
      <w:pPr>
        <w:spacing w:before="0" w:after="0" w:line="240" w:lineRule="auto"/>
      </w:pPr>
      <w:rPr>
        <w:b/>
        <w:bCs/>
        <w:color w:val="FFFFFF" w:themeColor="background1"/>
      </w:rPr>
      <w:tblPr/>
      <w:tcPr>
        <w:tcBorders>
          <w:top w:val="single" w:sz="8" w:space="0" w:color="F2F8FB" w:themeColor="accent6" w:themeTint="BF"/>
          <w:left w:val="single" w:sz="8" w:space="0" w:color="F2F8FB" w:themeColor="accent6" w:themeTint="BF"/>
          <w:bottom w:val="single" w:sz="8" w:space="0" w:color="F2F8FB" w:themeColor="accent6" w:themeTint="BF"/>
          <w:right w:val="single" w:sz="8" w:space="0" w:color="F2F8FB" w:themeColor="accent6" w:themeTint="BF"/>
          <w:insideH w:val="nil"/>
          <w:insideV w:val="nil"/>
        </w:tcBorders>
        <w:shd w:val="clear" w:color="auto" w:fill="EFF6FA" w:themeFill="accent6"/>
      </w:tcPr>
    </w:tblStylePr>
    <w:tblStylePr w:type="lastRow">
      <w:pPr>
        <w:spacing w:before="0" w:after="0" w:line="240" w:lineRule="auto"/>
      </w:pPr>
      <w:rPr>
        <w:b/>
        <w:bCs/>
      </w:rPr>
      <w:tblPr/>
      <w:tcPr>
        <w:tcBorders>
          <w:top w:val="double" w:sz="6" w:space="0" w:color="F2F8FB" w:themeColor="accent6" w:themeTint="BF"/>
          <w:left w:val="single" w:sz="8" w:space="0" w:color="F2F8FB" w:themeColor="accent6" w:themeTint="BF"/>
          <w:bottom w:val="single" w:sz="8" w:space="0" w:color="F2F8FB" w:themeColor="accent6" w:themeTint="BF"/>
          <w:right w:val="single" w:sz="8" w:space="0" w:color="F2F8F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FCFD" w:themeFill="accent6" w:themeFillTint="3F"/>
      </w:tcPr>
    </w:tblStylePr>
    <w:tblStylePr w:type="band1Horz">
      <w:tblPr/>
      <w:tcPr>
        <w:tcBorders>
          <w:insideH w:val="nil"/>
          <w:insideV w:val="nil"/>
        </w:tcBorders>
        <w:shd w:val="clear" w:color="auto" w:fill="FAFC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3C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3CB" w:themeFill="accent1"/>
      </w:tcPr>
    </w:tblStylePr>
    <w:tblStylePr w:type="lastCol">
      <w:rPr>
        <w:b/>
        <w:bCs/>
        <w:color w:val="FFFFFF" w:themeColor="background1"/>
      </w:rPr>
      <w:tblPr/>
      <w:tcPr>
        <w:tcBorders>
          <w:left w:val="nil"/>
          <w:right w:val="nil"/>
          <w:insideH w:val="nil"/>
          <w:insideV w:val="nil"/>
        </w:tcBorders>
        <w:shd w:val="clear" w:color="auto" w:fill="86B3C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689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6899" w:themeFill="accent2"/>
      </w:tcPr>
    </w:tblStylePr>
    <w:tblStylePr w:type="lastCol">
      <w:rPr>
        <w:b/>
        <w:bCs/>
        <w:color w:val="FFFFFF" w:themeColor="background1"/>
      </w:rPr>
      <w:tblPr/>
      <w:tcPr>
        <w:tcBorders>
          <w:left w:val="nil"/>
          <w:right w:val="nil"/>
          <w:insideH w:val="nil"/>
          <w:insideV w:val="nil"/>
        </w:tcBorders>
        <w:shd w:val="clear" w:color="auto" w:fill="92689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C57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C574" w:themeFill="accent3"/>
      </w:tcPr>
    </w:tblStylePr>
    <w:tblStylePr w:type="lastCol">
      <w:rPr>
        <w:b/>
        <w:bCs/>
        <w:color w:val="FFFFFF" w:themeColor="background1"/>
      </w:rPr>
      <w:tblPr/>
      <w:tcPr>
        <w:tcBorders>
          <w:left w:val="nil"/>
          <w:right w:val="nil"/>
          <w:insideH w:val="nil"/>
          <w:insideV w:val="nil"/>
        </w:tcBorders>
        <w:shd w:val="clear" w:color="auto" w:fill="7DC57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82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82D" w:themeFill="accent4"/>
      </w:tcPr>
    </w:tblStylePr>
    <w:tblStylePr w:type="lastCol">
      <w:rPr>
        <w:b/>
        <w:bCs/>
        <w:color w:val="FFFFFF" w:themeColor="background1"/>
      </w:rPr>
      <w:tblPr/>
      <w:tcPr>
        <w:tcBorders>
          <w:left w:val="nil"/>
          <w:right w:val="nil"/>
          <w:insideH w:val="nil"/>
          <w:insideV w:val="nil"/>
        </w:tcBorders>
        <w:shd w:val="clear" w:color="auto" w:fill="F8982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9A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9A98" w:themeFill="accent5"/>
      </w:tcPr>
    </w:tblStylePr>
    <w:tblStylePr w:type="lastCol">
      <w:rPr>
        <w:b/>
        <w:bCs/>
        <w:color w:val="FFFFFF" w:themeColor="background1"/>
      </w:rPr>
      <w:tblPr/>
      <w:tcPr>
        <w:tcBorders>
          <w:left w:val="nil"/>
          <w:right w:val="nil"/>
          <w:insideH w:val="nil"/>
          <w:insideV w:val="nil"/>
        </w:tcBorders>
        <w:shd w:val="clear" w:color="auto" w:fill="369A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F6F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F6FA" w:themeFill="accent6"/>
      </w:tcPr>
    </w:tblStylePr>
    <w:tblStylePr w:type="lastCol">
      <w:rPr>
        <w:b/>
        <w:bCs/>
        <w:color w:val="FFFFFF" w:themeColor="background1"/>
      </w:rPr>
      <w:tblPr/>
      <w:tcPr>
        <w:tcBorders>
          <w:left w:val="nil"/>
          <w:right w:val="nil"/>
          <w:insideH w:val="nil"/>
          <w:insideV w:val="nil"/>
        </w:tcBorders>
        <w:shd w:val="clear" w:color="auto" w:fill="EFF6F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9181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1810"/>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rsid w:val="00B91810"/>
    <w:pPr>
      <w:spacing w:after="0" w:line="240" w:lineRule="auto"/>
    </w:pPr>
  </w:style>
  <w:style w:type="paragraph" w:styleId="NormalWeb">
    <w:name w:val="Normal (Web)"/>
    <w:basedOn w:val="Normal"/>
    <w:uiPriority w:val="99"/>
    <w:semiHidden/>
    <w:unhideWhenUsed/>
    <w:rsid w:val="00B91810"/>
    <w:rPr>
      <w:rFonts w:ascii="Times New Roman" w:hAnsi="Times New Roman" w:cs="Times New Roman"/>
      <w:sz w:val="24"/>
      <w:szCs w:val="24"/>
    </w:rPr>
  </w:style>
  <w:style w:type="paragraph" w:styleId="NormalIndent">
    <w:name w:val="Normal Indent"/>
    <w:basedOn w:val="Normal"/>
    <w:uiPriority w:val="99"/>
    <w:semiHidden/>
    <w:unhideWhenUsed/>
    <w:rsid w:val="00B91810"/>
    <w:pPr>
      <w:ind w:left="720"/>
    </w:pPr>
  </w:style>
  <w:style w:type="paragraph" w:styleId="NoteHeading">
    <w:name w:val="Note Heading"/>
    <w:basedOn w:val="Normal"/>
    <w:next w:val="Normal"/>
    <w:link w:val="NoteHeadingChar"/>
    <w:uiPriority w:val="99"/>
    <w:semiHidden/>
    <w:unhideWhenUsed/>
    <w:rsid w:val="00B91810"/>
    <w:pPr>
      <w:spacing w:after="0" w:line="240" w:lineRule="auto"/>
    </w:pPr>
  </w:style>
  <w:style w:type="character" w:customStyle="1" w:styleId="NoteHeadingChar">
    <w:name w:val="Note Heading Char"/>
    <w:basedOn w:val="DefaultParagraphFont"/>
    <w:link w:val="NoteHeading"/>
    <w:uiPriority w:val="99"/>
    <w:semiHidden/>
    <w:rsid w:val="00B91810"/>
    <w:rPr>
      <w:lang w:val="en-GB"/>
    </w:rPr>
  </w:style>
  <w:style w:type="character" w:styleId="PageNumber">
    <w:name w:val="page number"/>
    <w:basedOn w:val="DefaultParagraphFont"/>
    <w:uiPriority w:val="99"/>
    <w:semiHidden/>
    <w:unhideWhenUsed/>
    <w:rsid w:val="00B91810"/>
    <w:rPr>
      <w:lang w:val="en-GB"/>
    </w:rPr>
  </w:style>
  <w:style w:type="paragraph" w:styleId="PlainText">
    <w:name w:val="Plain Text"/>
    <w:basedOn w:val="Normal"/>
    <w:link w:val="PlainTextChar"/>
    <w:uiPriority w:val="99"/>
    <w:semiHidden/>
    <w:unhideWhenUsed/>
    <w:rsid w:val="00B9181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91810"/>
    <w:rPr>
      <w:rFonts w:ascii="Consolas" w:hAnsi="Consolas" w:cs="Consolas"/>
      <w:sz w:val="21"/>
      <w:szCs w:val="21"/>
      <w:lang w:val="en-GB"/>
    </w:rPr>
  </w:style>
  <w:style w:type="paragraph" w:styleId="Quote">
    <w:name w:val="Quote"/>
    <w:basedOn w:val="Normal"/>
    <w:next w:val="Normal"/>
    <w:link w:val="QuoteChar"/>
    <w:uiPriority w:val="29"/>
    <w:semiHidden/>
    <w:rsid w:val="00B91810"/>
    <w:rPr>
      <w:i/>
      <w:iCs/>
    </w:rPr>
  </w:style>
  <w:style w:type="character" w:customStyle="1" w:styleId="QuoteChar">
    <w:name w:val="Quote Char"/>
    <w:basedOn w:val="DefaultParagraphFont"/>
    <w:link w:val="Quote"/>
    <w:uiPriority w:val="29"/>
    <w:rsid w:val="00B91810"/>
    <w:rPr>
      <w:i/>
      <w:iCs/>
      <w:color w:val="000000" w:themeColor="text1"/>
      <w:lang w:val="en-GB"/>
    </w:rPr>
  </w:style>
  <w:style w:type="paragraph" w:styleId="Salutation">
    <w:name w:val="Salutation"/>
    <w:basedOn w:val="Normal"/>
    <w:next w:val="Normal"/>
    <w:link w:val="SalutationChar"/>
    <w:uiPriority w:val="99"/>
    <w:semiHidden/>
    <w:unhideWhenUsed/>
    <w:rsid w:val="00B91810"/>
  </w:style>
  <w:style w:type="character" w:customStyle="1" w:styleId="SalutationChar">
    <w:name w:val="Salutation Char"/>
    <w:basedOn w:val="DefaultParagraphFont"/>
    <w:link w:val="Salutation"/>
    <w:uiPriority w:val="99"/>
    <w:semiHidden/>
    <w:rsid w:val="00B91810"/>
    <w:rPr>
      <w:lang w:val="en-GB"/>
    </w:rPr>
  </w:style>
  <w:style w:type="paragraph" w:styleId="Signature">
    <w:name w:val="Signature"/>
    <w:basedOn w:val="Normal"/>
    <w:link w:val="SignatureChar"/>
    <w:uiPriority w:val="99"/>
    <w:semiHidden/>
    <w:unhideWhenUsed/>
    <w:rsid w:val="00B91810"/>
    <w:pPr>
      <w:spacing w:after="0" w:line="240" w:lineRule="auto"/>
      <w:ind w:left="4252"/>
    </w:pPr>
  </w:style>
  <w:style w:type="character" w:customStyle="1" w:styleId="SignatureChar">
    <w:name w:val="Signature Char"/>
    <w:basedOn w:val="DefaultParagraphFont"/>
    <w:link w:val="Signature"/>
    <w:uiPriority w:val="99"/>
    <w:semiHidden/>
    <w:rsid w:val="00B91810"/>
    <w:rPr>
      <w:lang w:val="en-GB"/>
    </w:rPr>
  </w:style>
  <w:style w:type="character" w:styleId="Strong">
    <w:name w:val="Strong"/>
    <w:basedOn w:val="DefaultParagraphFont"/>
    <w:uiPriority w:val="22"/>
    <w:semiHidden/>
    <w:rsid w:val="00B91810"/>
    <w:rPr>
      <w:b/>
      <w:bCs/>
      <w:lang w:val="en-GB"/>
    </w:rPr>
  </w:style>
  <w:style w:type="paragraph" w:styleId="Subtitle">
    <w:name w:val="Subtitle"/>
    <w:basedOn w:val="Normal"/>
    <w:next w:val="Normal"/>
    <w:link w:val="SubtitleChar"/>
    <w:uiPriority w:val="11"/>
    <w:semiHidden/>
    <w:rsid w:val="00B91810"/>
    <w:pPr>
      <w:numPr>
        <w:ilvl w:val="1"/>
      </w:numPr>
    </w:pPr>
    <w:rPr>
      <w:rFonts w:asciiTheme="majorHAnsi" w:eastAsiaTheme="majorEastAsia" w:hAnsiTheme="majorHAnsi" w:cstheme="majorBidi"/>
      <w:i/>
      <w:iCs/>
      <w:color w:val="86B3CB" w:themeColor="accent1"/>
      <w:spacing w:val="15"/>
      <w:sz w:val="24"/>
      <w:szCs w:val="24"/>
    </w:rPr>
  </w:style>
  <w:style w:type="character" w:customStyle="1" w:styleId="SubtitleChar">
    <w:name w:val="Subtitle Char"/>
    <w:basedOn w:val="DefaultParagraphFont"/>
    <w:link w:val="Subtitle"/>
    <w:uiPriority w:val="11"/>
    <w:rsid w:val="00B91810"/>
    <w:rPr>
      <w:rFonts w:asciiTheme="majorHAnsi" w:eastAsiaTheme="majorEastAsia" w:hAnsiTheme="majorHAnsi" w:cstheme="majorBidi"/>
      <w:i/>
      <w:iCs/>
      <w:color w:val="86B3CB" w:themeColor="accent1"/>
      <w:spacing w:val="15"/>
      <w:sz w:val="24"/>
      <w:szCs w:val="24"/>
      <w:lang w:val="en-GB"/>
    </w:rPr>
  </w:style>
  <w:style w:type="character" w:styleId="SubtleEmphasis">
    <w:name w:val="Subtle Emphasis"/>
    <w:basedOn w:val="DefaultParagraphFont"/>
    <w:uiPriority w:val="19"/>
    <w:semiHidden/>
    <w:rsid w:val="00B91810"/>
    <w:rPr>
      <w:i/>
      <w:iCs/>
      <w:color w:val="808080" w:themeColor="text1" w:themeTint="7F"/>
      <w:lang w:val="en-GB"/>
    </w:rPr>
  </w:style>
  <w:style w:type="character" w:styleId="SubtleReference">
    <w:name w:val="Subtle Reference"/>
    <w:basedOn w:val="DefaultParagraphFont"/>
    <w:uiPriority w:val="31"/>
    <w:semiHidden/>
    <w:rsid w:val="00B91810"/>
    <w:rPr>
      <w:smallCaps/>
      <w:color w:val="926899" w:themeColor="accent2"/>
      <w:u w:val="single"/>
      <w:lang w:val="en-GB"/>
    </w:rPr>
  </w:style>
  <w:style w:type="table" w:styleId="Table3Deffects1">
    <w:name w:val="Table 3D effects 1"/>
    <w:basedOn w:val="TableNormal"/>
    <w:uiPriority w:val="99"/>
    <w:semiHidden/>
    <w:unhideWhenUsed/>
    <w:rsid w:val="00B9181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9181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9181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918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9181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918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9181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9181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9181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9181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9181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9181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9181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9181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9181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9181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9181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9181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9181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9181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9181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9181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9181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9181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918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918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91810"/>
    <w:pPr>
      <w:spacing w:after="0"/>
      <w:ind w:left="220" w:hanging="220"/>
    </w:pPr>
  </w:style>
  <w:style w:type="table" w:styleId="TableProfessional">
    <w:name w:val="Table Professional"/>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9181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9181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9181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9181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91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9181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9181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9181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91810"/>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B91810"/>
    <w:pPr>
      <w:spacing w:after="100"/>
      <w:ind w:left="440"/>
    </w:pPr>
  </w:style>
  <w:style w:type="paragraph" w:styleId="TOC4">
    <w:name w:val="toc 4"/>
    <w:basedOn w:val="Normal"/>
    <w:next w:val="Normal"/>
    <w:autoRedefine/>
    <w:uiPriority w:val="39"/>
    <w:semiHidden/>
    <w:unhideWhenUsed/>
    <w:rsid w:val="00B91810"/>
    <w:pPr>
      <w:spacing w:after="100"/>
      <w:ind w:left="660"/>
    </w:pPr>
  </w:style>
  <w:style w:type="paragraph" w:styleId="TOC5">
    <w:name w:val="toc 5"/>
    <w:basedOn w:val="Normal"/>
    <w:next w:val="Normal"/>
    <w:autoRedefine/>
    <w:uiPriority w:val="39"/>
    <w:semiHidden/>
    <w:unhideWhenUsed/>
    <w:rsid w:val="00B91810"/>
    <w:pPr>
      <w:spacing w:after="100"/>
      <w:ind w:left="880"/>
    </w:pPr>
  </w:style>
  <w:style w:type="paragraph" w:styleId="TOC6">
    <w:name w:val="toc 6"/>
    <w:basedOn w:val="Normal"/>
    <w:next w:val="Normal"/>
    <w:autoRedefine/>
    <w:uiPriority w:val="39"/>
    <w:semiHidden/>
    <w:unhideWhenUsed/>
    <w:rsid w:val="00B91810"/>
    <w:pPr>
      <w:spacing w:after="100"/>
      <w:ind w:left="1100"/>
    </w:pPr>
  </w:style>
  <w:style w:type="paragraph" w:styleId="TOC7">
    <w:name w:val="toc 7"/>
    <w:next w:val="Normal"/>
    <w:uiPriority w:val="39"/>
    <w:semiHidden/>
    <w:unhideWhenUsed/>
    <w:rsid w:val="00065DC6"/>
    <w:pPr>
      <w:tabs>
        <w:tab w:val="left" w:pos="0"/>
      </w:tabs>
      <w:spacing w:before="280" w:after="0"/>
      <w:ind w:left="-567"/>
    </w:pPr>
    <w:rPr>
      <w:b/>
    </w:rPr>
  </w:style>
  <w:style w:type="paragraph" w:styleId="TOC8">
    <w:name w:val="toc 8"/>
    <w:basedOn w:val="Normal"/>
    <w:next w:val="Normal"/>
    <w:autoRedefine/>
    <w:uiPriority w:val="39"/>
    <w:semiHidden/>
    <w:unhideWhenUsed/>
    <w:rsid w:val="00B91810"/>
    <w:pPr>
      <w:spacing w:after="100"/>
      <w:ind w:left="1540"/>
    </w:pPr>
  </w:style>
  <w:style w:type="paragraph" w:styleId="TOC9">
    <w:name w:val="toc 9"/>
    <w:basedOn w:val="Normal"/>
    <w:next w:val="Normal"/>
    <w:autoRedefine/>
    <w:uiPriority w:val="39"/>
    <w:semiHidden/>
    <w:unhideWhenUsed/>
    <w:rsid w:val="00B91810"/>
    <w:pPr>
      <w:spacing w:after="100"/>
      <w:ind w:left="1760"/>
    </w:pPr>
  </w:style>
  <w:style w:type="paragraph" w:customStyle="1" w:styleId="SDGExec1">
    <w:name w:val="SDG Exec 1"/>
    <w:next w:val="SDGExec2"/>
    <w:uiPriority w:val="2"/>
    <w:semiHidden/>
    <w:rsid w:val="00F066DA"/>
    <w:pPr>
      <w:keepNext/>
      <w:outlineLvl w:val="0"/>
    </w:pPr>
    <w:rPr>
      <w:rFonts w:asciiTheme="majorHAnsi" w:eastAsiaTheme="majorEastAsia" w:hAnsiTheme="majorHAnsi" w:cstheme="majorBidi"/>
      <w:b/>
      <w:iCs/>
      <w:color w:val="AE1031" w:themeColor="text2"/>
      <w:spacing w:val="15"/>
      <w:sz w:val="28"/>
      <w:szCs w:val="24"/>
    </w:rPr>
  </w:style>
  <w:style w:type="paragraph" w:customStyle="1" w:styleId="SDGControlheading">
    <w:name w:val="SDG Control heading"/>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before="240" w:after="240" w:line="288" w:lineRule="auto"/>
      <w:jc w:val="center"/>
    </w:pPr>
    <w:rPr>
      <w:rFonts w:eastAsia="Times New Roman" w:cs="Times New Roman"/>
      <w:caps/>
      <w:sz w:val="20"/>
      <w:szCs w:val="24"/>
      <w:lang w:eastAsia="en-GB"/>
    </w:rPr>
  </w:style>
  <w:style w:type="paragraph" w:customStyle="1" w:styleId="SDGHidden">
    <w:name w:val="SDG Hidden"/>
    <w:basedOn w:val="Normal"/>
    <w:hidden/>
    <w:rsid w:val="008D079E"/>
    <w:pPr>
      <w:spacing w:before="40" w:line="288" w:lineRule="auto"/>
    </w:pPr>
    <w:rPr>
      <w:rFonts w:eastAsia="Times New Roman" w:cs="Times New Roman"/>
      <w:vanish/>
      <w:color w:val="FF0000"/>
      <w:sz w:val="20"/>
      <w:szCs w:val="24"/>
      <w:lang w:eastAsia="en-GB"/>
    </w:rPr>
  </w:style>
  <w:style w:type="paragraph" w:customStyle="1" w:styleId="SDGControltitle">
    <w:name w:val="SDG Control title"/>
    <w:basedOn w:val="SDGControlheading"/>
    <w:hidden/>
    <w:semiHidden/>
    <w:rsid w:val="008D079E"/>
    <w:pPr>
      <w:spacing w:before="0" w:after="0"/>
    </w:pPr>
  </w:style>
  <w:style w:type="paragraph" w:customStyle="1" w:styleId="SDGCovertitlebuffer">
    <w:name w:val="SDG Cover title buffer"/>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after="0" w:line="288" w:lineRule="auto"/>
      <w:jc w:val="center"/>
    </w:pPr>
    <w:rPr>
      <w:rFonts w:eastAsia="Times New Roman" w:cs="Times New Roman"/>
      <w:sz w:val="20"/>
      <w:szCs w:val="24"/>
      <w:lang w:eastAsia="en-GB"/>
    </w:rPr>
  </w:style>
  <w:style w:type="paragraph" w:customStyle="1" w:styleId="CSTitle">
    <w:name w:val="CS Title"/>
    <w:uiPriority w:val="1"/>
    <w:semiHidden/>
    <w:rsid w:val="00BF468F"/>
    <w:pPr>
      <w:spacing w:after="85" w:line="240" w:lineRule="auto"/>
    </w:pPr>
    <w:rPr>
      <w:rFonts w:asciiTheme="majorHAnsi" w:eastAsia="Times New Roman" w:hAnsiTheme="majorHAnsi" w:cs="Times New Roman"/>
      <w:caps/>
      <w:color w:val="57626E" w:themeColor="background2"/>
      <w:sz w:val="56"/>
      <w:szCs w:val="24"/>
      <w:lang w:eastAsia="en-GB"/>
    </w:rPr>
  </w:style>
  <w:style w:type="table" w:customStyle="1" w:styleId="ControlSheettable">
    <w:name w:val="Control Sheet table"/>
    <w:basedOn w:val="TableNormal"/>
    <w:uiPriority w:val="99"/>
    <w:semiHidden/>
    <w:rsid w:val="00E95676"/>
    <w:pPr>
      <w:keepNext/>
      <w:keepLines/>
      <w:spacing w:after="0" w:line="240" w:lineRule="auto"/>
    </w:pPr>
    <w:tblPr>
      <w:tblInd w:w="108" w:type="dxa"/>
      <w:tblBorders>
        <w:insideH w:val="single" w:sz="12" w:space="0" w:color="86B3CB" w:themeColor="accent1"/>
        <w:insideV w:val="single" w:sz="12" w:space="0" w:color="FFFFFF" w:themeColor="background1"/>
      </w:tblBorders>
    </w:tblPr>
    <w:tcPr>
      <w:shd w:val="clear" w:color="auto" w:fill="FFFFFF" w:themeFill="background1"/>
      <w:vAlign w:val="center"/>
    </w:tcPr>
    <w:tblStylePr w:type="firstRow">
      <w:rPr>
        <w:sz w:val="22"/>
      </w:rPr>
    </w:tblStylePr>
  </w:style>
  <w:style w:type="paragraph" w:customStyle="1" w:styleId="CSHeading">
    <w:name w:val="CS Heading"/>
    <w:basedOn w:val="SDGControlheading"/>
    <w:uiPriority w:val="1"/>
    <w:semiHidden/>
    <w:rsid w:val="00D72F74"/>
    <w:pPr>
      <w:pBdr>
        <w:top w:val="none" w:sz="0" w:space="0" w:color="auto"/>
        <w:left w:val="none" w:sz="0" w:space="0" w:color="auto"/>
        <w:bottom w:val="single" w:sz="8" w:space="1" w:color="57626E" w:themeColor="background2"/>
        <w:right w:val="none" w:sz="0" w:space="0" w:color="auto"/>
      </w:pBdr>
      <w:shd w:val="clear" w:color="auto" w:fill="auto"/>
      <w:spacing w:before="280" w:after="140" w:line="320" w:lineRule="atLeast"/>
      <w:ind w:right="-170"/>
      <w:jc w:val="left"/>
    </w:pPr>
    <w:rPr>
      <w:b/>
      <w:caps w:val="0"/>
      <w:color w:val="57626E" w:themeColor="background2"/>
      <w:sz w:val="22"/>
    </w:rPr>
  </w:style>
  <w:style w:type="numbering" w:customStyle="1" w:styleId="SDGAppendixHeadings">
    <w:name w:val="SDG Appendix Headings"/>
    <w:uiPriority w:val="99"/>
    <w:semiHidden/>
    <w:rsid w:val="00F43296"/>
    <w:pPr>
      <w:numPr>
        <w:numId w:val="10"/>
      </w:numPr>
    </w:pPr>
  </w:style>
  <w:style w:type="paragraph" w:customStyle="1" w:styleId="SDGAppendixListNumber">
    <w:name w:val="SDG Appendix List Number"/>
    <w:basedOn w:val="Heading9"/>
    <w:uiPriority w:val="19"/>
    <w:semiHidden/>
    <w:rsid w:val="00216329"/>
    <w:rPr>
      <w:b w:val="0"/>
      <w:color w:val="57626E" w:themeColor="background2"/>
    </w:rPr>
  </w:style>
  <w:style w:type="paragraph" w:customStyle="1" w:styleId="Appendix2Heading8">
    <w:name w:val="Appendix 2  (Heading 8)"/>
    <w:basedOn w:val="Normal"/>
    <w:semiHidden/>
    <w:rsid w:val="00F43296"/>
  </w:style>
  <w:style w:type="paragraph" w:customStyle="1" w:styleId="Appendix2n">
    <w:name w:val="Appendix 2n"/>
    <w:basedOn w:val="Heading2"/>
    <w:next w:val="SDGAppendixListNumber"/>
    <w:uiPriority w:val="17"/>
    <w:semiHidden/>
    <w:rsid w:val="00F74842"/>
  </w:style>
  <w:style w:type="paragraph" w:customStyle="1" w:styleId="Appendix3n">
    <w:name w:val="Appendix 3n"/>
    <w:basedOn w:val="Heading3"/>
    <w:next w:val="SDGAppendixListNumber"/>
    <w:uiPriority w:val="18"/>
    <w:semiHidden/>
    <w:rsid w:val="00F74842"/>
  </w:style>
  <w:style w:type="paragraph" w:customStyle="1" w:styleId="SDGExec2">
    <w:name w:val="SDG Exec 2"/>
    <w:uiPriority w:val="3"/>
    <w:semiHidden/>
    <w:rsid w:val="00216329"/>
    <w:rPr>
      <w:rFonts w:asciiTheme="majorHAnsi" w:eastAsiaTheme="majorEastAsia" w:hAnsiTheme="majorHAnsi" w:cstheme="majorBidi"/>
      <w:b/>
      <w:bCs/>
      <w:color w:val="57626E" w:themeColor="background2"/>
    </w:rPr>
  </w:style>
  <w:style w:type="paragraph" w:customStyle="1" w:styleId="BCAddress">
    <w:name w:val="BC Address"/>
    <w:uiPriority w:val="1"/>
    <w:semiHidden/>
    <w:rsid w:val="00054FAA"/>
    <w:pPr>
      <w:spacing w:after="0" w:line="260" w:lineRule="atLeast"/>
    </w:pPr>
    <w:rPr>
      <w:color w:val="FFFFFF" w:themeColor="background1"/>
      <w:sz w:val="20"/>
    </w:rPr>
  </w:style>
  <w:style w:type="paragraph" w:customStyle="1" w:styleId="BCHeading">
    <w:name w:val="BC Heading"/>
    <w:uiPriority w:val="1"/>
    <w:semiHidden/>
    <w:rsid w:val="00BF2749"/>
    <w:pPr>
      <w:spacing w:after="0" w:line="560" w:lineRule="atLeast"/>
    </w:pPr>
    <w:rPr>
      <w:b/>
      <w:color w:val="FFFFFF" w:themeColor="background1"/>
      <w:sz w:val="28"/>
    </w:rPr>
  </w:style>
  <w:style w:type="paragraph" w:customStyle="1" w:styleId="FooterBackPage">
    <w:name w:val="Footer Back Page"/>
    <w:basedOn w:val="Footer"/>
    <w:uiPriority w:val="1"/>
    <w:semiHidden/>
    <w:rsid w:val="00B17830"/>
    <w:pPr>
      <w:spacing w:line="280" w:lineRule="atLeast"/>
      <w:ind w:left="0"/>
    </w:pPr>
    <w:rPr>
      <w:color w:val="FFFFFF" w:themeColor="background1"/>
      <w:spacing w:val="6"/>
      <w:sz w:val="22"/>
    </w:rPr>
  </w:style>
  <w:style w:type="paragraph" w:customStyle="1" w:styleId="Reasonsheading">
    <w:name w:val="Reasons heading"/>
    <w:uiPriority w:val="1"/>
    <w:semiHidden/>
    <w:rsid w:val="00FA27FA"/>
    <w:pPr>
      <w:spacing w:after="0" w:line="280" w:lineRule="exact"/>
    </w:pPr>
    <w:rPr>
      <w:b/>
      <w:color w:val="FFFFFF" w:themeColor="background1"/>
      <w:sz w:val="28"/>
    </w:rPr>
  </w:style>
  <w:style w:type="paragraph" w:customStyle="1" w:styleId="Reasons">
    <w:name w:val="Reasons"/>
    <w:uiPriority w:val="1"/>
    <w:semiHidden/>
    <w:rsid w:val="00FA27FA"/>
    <w:pPr>
      <w:spacing w:after="240" w:line="240" w:lineRule="atLeast"/>
    </w:pPr>
    <w:rPr>
      <w:color w:val="FFFFFF" w:themeColor="background1"/>
      <w:spacing w:val="-6"/>
      <w:sz w:val="20"/>
    </w:rPr>
  </w:style>
  <w:style w:type="paragraph" w:customStyle="1" w:styleId="Proposaladdresses">
    <w:name w:val="Proposal addresses"/>
    <w:uiPriority w:val="1"/>
    <w:semiHidden/>
    <w:rsid w:val="00A5295C"/>
    <w:pPr>
      <w:spacing w:after="280"/>
      <w:contextualSpacing/>
    </w:pPr>
    <w:rPr>
      <w:color w:val="FFFFFF" w:themeColor="background1"/>
    </w:rPr>
  </w:style>
  <w:style w:type="paragraph" w:customStyle="1" w:styleId="PullQuote">
    <w:name w:val="Pull Quote"/>
    <w:next w:val="Normal"/>
    <w:uiPriority w:val="15"/>
    <w:qFormat/>
    <w:rsid w:val="003560C4"/>
    <w:pPr>
      <w:pBdr>
        <w:top w:val="single" w:sz="2" w:space="3" w:color="7F7F7F" w:themeColor="text1" w:themeTint="80"/>
        <w:bottom w:val="single" w:sz="2" w:space="5" w:color="7F7F7F" w:themeColor="text1" w:themeTint="80"/>
      </w:pBdr>
      <w:spacing w:before="280" w:after="360" w:line="320" w:lineRule="exact"/>
    </w:pPr>
    <w:rPr>
      <w:color w:val="7F7F7F" w:themeColor="text1" w:themeTint="80"/>
      <w:sz w:val="28"/>
    </w:rPr>
  </w:style>
  <w:style w:type="paragraph" w:customStyle="1" w:styleId="NormalNumbered">
    <w:name w:val="Normal Numbered"/>
    <w:uiPriority w:val="6"/>
    <w:qFormat/>
    <w:rsid w:val="00781970"/>
    <w:pPr>
      <w:numPr>
        <w:ilvl w:val="3"/>
        <w:numId w:val="2"/>
      </w:numPr>
    </w:pPr>
  </w:style>
  <w:style w:type="paragraph" w:customStyle="1" w:styleId="ListEnd">
    <w:name w:val="List End"/>
    <w:next w:val="NormalNumbered"/>
    <w:uiPriority w:val="13"/>
    <w:semiHidden/>
    <w:rsid w:val="00FD7839"/>
    <w:pPr>
      <w:spacing w:after="0" w:line="140" w:lineRule="exact"/>
    </w:pPr>
  </w:style>
  <w:style w:type="numbering" w:customStyle="1" w:styleId="SDGListNumbers">
    <w:name w:val="SDG List Numbers"/>
    <w:uiPriority w:val="99"/>
    <w:semiHidden/>
    <w:rsid w:val="001E76C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72621">
      <w:bodyDiv w:val="1"/>
      <w:marLeft w:val="0"/>
      <w:marRight w:val="0"/>
      <w:marTop w:val="0"/>
      <w:marBottom w:val="0"/>
      <w:divBdr>
        <w:top w:val="none" w:sz="0" w:space="0" w:color="auto"/>
        <w:left w:val="none" w:sz="0" w:space="0" w:color="auto"/>
        <w:bottom w:val="none" w:sz="0" w:space="0" w:color="auto"/>
        <w:right w:val="none" w:sz="0" w:space="0" w:color="auto"/>
      </w:divBdr>
    </w:div>
    <w:div w:id="869222842">
      <w:bodyDiv w:val="1"/>
      <w:marLeft w:val="0"/>
      <w:marRight w:val="0"/>
      <w:marTop w:val="0"/>
      <w:marBottom w:val="0"/>
      <w:divBdr>
        <w:top w:val="none" w:sz="0" w:space="0" w:color="auto"/>
        <w:left w:val="none" w:sz="0" w:space="0" w:color="auto"/>
        <w:bottom w:val="none" w:sz="0" w:space="0" w:color="auto"/>
        <w:right w:val="none" w:sz="0" w:space="0" w:color="auto"/>
      </w:divBdr>
    </w:div>
    <w:div w:id="1116829720">
      <w:bodyDiv w:val="1"/>
      <w:marLeft w:val="0"/>
      <w:marRight w:val="0"/>
      <w:marTop w:val="0"/>
      <w:marBottom w:val="0"/>
      <w:divBdr>
        <w:top w:val="none" w:sz="0" w:space="0" w:color="auto"/>
        <w:left w:val="none" w:sz="0" w:space="0" w:color="auto"/>
        <w:bottom w:val="none" w:sz="0" w:space="0" w:color="auto"/>
        <w:right w:val="none" w:sz="0" w:space="0" w:color="auto"/>
      </w:divBdr>
    </w:div>
    <w:div w:id="1154225225">
      <w:bodyDiv w:val="1"/>
      <w:marLeft w:val="0"/>
      <w:marRight w:val="0"/>
      <w:marTop w:val="0"/>
      <w:marBottom w:val="0"/>
      <w:divBdr>
        <w:top w:val="none" w:sz="0" w:space="0" w:color="auto"/>
        <w:left w:val="none" w:sz="0" w:space="0" w:color="auto"/>
        <w:bottom w:val="none" w:sz="0" w:space="0" w:color="auto"/>
        <w:right w:val="none" w:sz="0" w:space="0" w:color="auto"/>
      </w:divBdr>
    </w:div>
    <w:div w:id="1377970867">
      <w:bodyDiv w:val="1"/>
      <w:marLeft w:val="0"/>
      <w:marRight w:val="0"/>
      <w:marTop w:val="0"/>
      <w:marBottom w:val="0"/>
      <w:divBdr>
        <w:top w:val="none" w:sz="0" w:space="0" w:color="auto"/>
        <w:left w:val="none" w:sz="0" w:space="0" w:color="auto"/>
        <w:bottom w:val="none" w:sz="0" w:space="0" w:color="auto"/>
        <w:right w:val="none" w:sz="0" w:space="0" w:color="auto"/>
      </w:divBdr>
    </w:div>
    <w:div w:id="1552499380">
      <w:bodyDiv w:val="1"/>
      <w:marLeft w:val="0"/>
      <w:marRight w:val="0"/>
      <w:marTop w:val="0"/>
      <w:marBottom w:val="0"/>
      <w:divBdr>
        <w:top w:val="none" w:sz="0" w:space="0" w:color="auto"/>
        <w:left w:val="none" w:sz="0" w:space="0" w:color="auto"/>
        <w:bottom w:val="none" w:sz="0" w:space="0" w:color="auto"/>
        <w:right w:val="none" w:sz="0" w:space="0" w:color="auto"/>
      </w:divBdr>
    </w:div>
    <w:div w:id="1571505473">
      <w:bodyDiv w:val="1"/>
      <w:marLeft w:val="0"/>
      <w:marRight w:val="0"/>
      <w:marTop w:val="0"/>
      <w:marBottom w:val="0"/>
      <w:divBdr>
        <w:top w:val="none" w:sz="0" w:space="0" w:color="auto"/>
        <w:left w:val="none" w:sz="0" w:space="0" w:color="auto"/>
        <w:bottom w:val="none" w:sz="0" w:space="0" w:color="auto"/>
        <w:right w:val="none" w:sz="0" w:space="0" w:color="auto"/>
      </w:divBdr>
    </w:div>
    <w:div w:id="1724866391">
      <w:bodyDiv w:val="1"/>
      <w:marLeft w:val="0"/>
      <w:marRight w:val="0"/>
      <w:marTop w:val="0"/>
      <w:marBottom w:val="0"/>
      <w:divBdr>
        <w:top w:val="none" w:sz="0" w:space="0" w:color="auto"/>
        <w:left w:val="none" w:sz="0" w:space="0" w:color="auto"/>
        <w:bottom w:val="none" w:sz="0" w:space="0" w:color="auto"/>
        <w:right w:val="none" w:sz="0" w:space="0" w:color="auto"/>
      </w:divBdr>
    </w:div>
    <w:div w:id="1801261488">
      <w:bodyDiv w:val="1"/>
      <w:marLeft w:val="0"/>
      <w:marRight w:val="0"/>
      <w:marTop w:val="0"/>
      <w:marBottom w:val="0"/>
      <w:divBdr>
        <w:top w:val="none" w:sz="0" w:space="0" w:color="auto"/>
        <w:left w:val="none" w:sz="0" w:space="0" w:color="auto"/>
        <w:bottom w:val="none" w:sz="0" w:space="0" w:color="auto"/>
        <w:right w:val="none" w:sz="0" w:space="0" w:color="auto"/>
      </w:divBdr>
    </w:div>
    <w:div w:id="196391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www.thetrainline.com" TargetMode="External"/><Relationship Id="rId7" Type="http://schemas.openxmlformats.org/officeDocument/2006/relationships/hyperlink" Target="https://en.wikipedia.org/wiki/Rhineland-Palatinate" TargetMode="External"/><Relationship Id="rId2" Type="http://schemas.openxmlformats.org/officeDocument/2006/relationships/hyperlink" Target="https://www.timeshighereducation.com/world-university-rankings" TargetMode="External"/><Relationship Id="rId1" Type="http://schemas.openxmlformats.org/officeDocument/2006/relationships/hyperlink" Target="https://www.ukuni.net/articles/UK-University-Ranking-2016-Times" TargetMode="External"/><Relationship Id="rId6" Type="http://schemas.openxmlformats.org/officeDocument/2006/relationships/hyperlink" Target="https://www.google.com/earth/" TargetMode="External"/><Relationship Id="rId5" Type="http://schemas.openxmlformats.org/officeDocument/2006/relationships/hyperlink" Target="http://www.thetrainline.com" TargetMode="External"/><Relationship Id="rId4" Type="http://schemas.openxmlformats.org/officeDocument/2006/relationships/hyperlink" Target="https://www.google.co.uk/maps/@51.4963007,-0.0933477,14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shop\SDG\Templates\SDG%20Blank%20A4.dotm" TargetMode="External"/></Relationships>
</file>

<file path=word/theme/theme1.xml><?xml version="1.0" encoding="utf-8"?>
<a:theme xmlns:a="http://schemas.openxmlformats.org/drawingml/2006/main" name="SDG Base">
  <a:themeElements>
    <a:clrScheme name="SDG Base">
      <a:dk1>
        <a:sysClr val="windowText" lastClr="000000"/>
      </a:dk1>
      <a:lt1>
        <a:sysClr val="window" lastClr="FFFFFF"/>
      </a:lt1>
      <a:dk2>
        <a:srgbClr val="AE1031"/>
      </a:dk2>
      <a:lt2>
        <a:srgbClr val="57626E"/>
      </a:lt2>
      <a:accent1>
        <a:srgbClr val="86B3CB"/>
      </a:accent1>
      <a:accent2>
        <a:srgbClr val="926899"/>
      </a:accent2>
      <a:accent3>
        <a:srgbClr val="7DC574"/>
      </a:accent3>
      <a:accent4>
        <a:srgbClr val="F8982D"/>
      </a:accent4>
      <a:accent5>
        <a:srgbClr val="369A98"/>
      </a:accent5>
      <a:accent6>
        <a:srgbClr val="EFF6FA"/>
      </a:accent6>
      <a:hlink>
        <a:srgbClr val="0000FF"/>
      </a:hlink>
      <a:folHlink>
        <a:srgbClr val="800080"/>
      </a:folHlink>
    </a:clrScheme>
    <a:fontScheme name="SD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SDG Red">
      <a:srgbClr val="AE1031"/>
    </a:custClr>
    <a:custClr name="SDG Grey">
      <a:srgbClr val="57626E"/>
    </a:custClr>
    <a:custClr name="SDG Light Blue">
      <a:srgbClr val="86B3CB"/>
    </a:custClr>
    <a:custClr name="SDG Purple">
      <a:srgbClr val="926899"/>
    </a:custClr>
    <a:custClr name="SDG Green">
      <a:srgbClr val="7DC574"/>
    </a:custClr>
    <a:custClr name="SDG Orange">
      <a:srgbClr val="F8982D"/>
    </a:custClr>
    <a:custClr name="SDG Teal">
      <a:srgbClr val="369A98"/>
    </a:custClr>
    <a:custClr name="SDG Light Blue 20%">
      <a:srgbClr val="EFF6FA"/>
    </a:custClr>
    <a:custClr name="SGD Light Blue 50%">
      <a:srgbClr val="D6E7F2"/>
    </a:custClr>
    <a:custClr name="SDG Grey 50%">
      <a:srgbClr val="98A5A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Publication>Publication date</Publication>
  <Project_number>Project number</Project_number>
  <Project_number_label>Our ref: </Project_number_label>
  <Client>
    <Name>Client name</Name>
    <Address>Client address</Address>
    <Ref>Client ref</Ref>
    <Ref_label>Client ref: </Ref_label>
  </Client>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2FFE2CD3-62F3-4FBE-BE43-75DDB2D9F79B}">
  <ds:schemaRefs/>
</ds:datastoreItem>
</file>

<file path=customXml/itemProps2.xml><?xml version="1.0" encoding="utf-8"?>
<ds:datastoreItem xmlns:ds="http://schemas.openxmlformats.org/officeDocument/2006/customXml" ds:itemID="{58B5DBB2-ECC2-4882-9702-B97F837E1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SDG Blank A4</Template>
  <TotalTime>39</TotalTime>
  <Pages>1</Pages>
  <Words>4025</Words>
  <Characters>22945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SDG Blank</vt:lpstr>
    </vt:vector>
  </TitlesOfParts>
  <Company>Steer Davies Gleave</Company>
  <LinksUpToDate>false</LinksUpToDate>
  <CharactersWithSpaces>26917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SDG Blank</dc:title>
  <dc:creator>Bishop, Steven</dc:creator>
  <cp:lastModifiedBy>Bishop, Steven</cp:lastModifiedBy>
  <cp:revision>3</cp:revision>
  <cp:lastPrinted>2016-07-28T10:24:00Z</cp:lastPrinted>
  <dcterms:created xsi:type="dcterms:W3CDTF">2016-07-28T19:13:00Z</dcterms:created>
  <dcterms:modified xsi:type="dcterms:W3CDTF">2016-07-28T19:14:00Z</dcterms:modified>
  <cp:category>Document Type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1.04</vt:lpwstr>
  </property>
  <property fmtid="{D5CDD505-2E9C-101B-9397-08002B2CF9AE}" pid="3" name="Template date">
    <vt:filetime>2014-07-13T23:00:00Z</vt:filetime>
  </property>
  <property fmtid="{D5CDD505-2E9C-101B-9397-08002B2CF9AE}" pid="4" name="Doc Language">
    <vt:i4>0</vt:i4>
  </property>
  <property fmtid="{D5CDD505-2E9C-101B-9397-08002B2CF9AE}" pid="5" name="Doc Spelling">
    <vt:i4>0</vt:i4>
  </property>
</Properties>
</file>